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proofErr w:type="spellStart"/>
      <w:r w:rsidR="00415307">
        <w:rPr>
          <w:rFonts w:asciiTheme="minorHAnsi" w:hAnsiTheme="minorHAnsi" w:cstheme="minorHAnsi"/>
          <w:b/>
        </w:rPr>
        <w:t>Gepol</w:t>
      </w:r>
      <w:proofErr w:type="spellEnd"/>
      <w:r w:rsidR="00415307">
        <w:rPr>
          <w:rFonts w:asciiTheme="minorHAnsi" w:hAnsiTheme="minorHAnsi" w:cstheme="minorHAnsi"/>
          <w:b/>
        </w:rPr>
        <w:t xml:space="preserve"> </w:t>
      </w:r>
      <w:proofErr w:type="spellStart"/>
      <w:r w:rsidR="00415307">
        <w:rPr>
          <w:rFonts w:asciiTheme="minorHAnsi" w:hAnsiTheme="minorHAnsi" w:cstheme="minorHAnsi"/>
          <w:b/>
        </w:rPr>
        <w:t>Sp.zo.o</w:t>
      </w:r>
      <w:proofErr w:type="spellEnd"/>
      <w:r w:rsidR="00415307">
        <w:rPr>
          <w:rFonts w:asciiTheme="minorHAnsi" w:hAnsiTheme="minorHAnsi" w:cstheme="minorHAnsi"/>
          <w:b/>
        </w:rPr>
        <w:t>. ul. Dąbrowskiego 75/44, 60-523 Poznań</w:t>
      </w:r>
      <w:bookmarkStart w:id="0" w:name="_GoBack"/>
      <w:bookmarkEnd w:id="0"/>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415307">
        <w:rPr>
          <w:rFonts w:asciiTheme="minorHAnsi" w:hAnsiTheme="minorHAnsi" w:cstheme="minorHAnsi"/>
        </w:rPr>
        <w:t>–</w:t>
      </w:r>
      <w:r>
        <w:rPr>
          <w:rFonts w:asciiTheme="minorHAnsi" w:hAnsiTheme="minorHAnsi" w:cstheme="minorHAnsi"/>
        </w:rPr>
        <w:t xml:space="preserve"> </w:t>
      </w:r>
      <w:proofErr w:type="spellStart"/>
      <w:r w:rsidR="00415307">
        <w:rPr>
          <w:rFonts w:asciiTheme="minorHAnsi" w:hAnsiTheme="minorHAnsi" w:cstheme="minorHAnsi"/>
          <w:b/>
        </w:rPr>
        <w:t>Gepol</w:t>
      </w:r>
      <w:proofErr w:type="spellEnd"/>
      <w:r w:rsidR="00415307">
        <w:rPr>
          <w:rFonts w:asciiTheme="minorHAnsi" w:hAnsiTheme="minorHAnsi" w:cstheme="minorHAnsi"/>
          <w:b/>
        </w:rPr>
        <w:t xml:space="preserve"> </w:t>
      </w:r>
      <w:proofErr w:type="spellStart"/>
      <w:r w:rsidR="00415307">
        <w:rPr>
          <w:rFonts w:asciiTheme="minorHAnsi" w:hAnsiTheme="minorHAnsi" w:cstheme="minorHAnsi"/>
          <w:b/>
        </w:rPr>
        <w:t>Sp.zo.o</w:t>
      </w:r>
      <w:proofErr w:type="spellEnd"/>
      <w:r w:rsidR="00415307">
        <w:rPr>
          <w:rFonts w:asciiTheme="minorHAnsi" w:hAnsiTheme="minorHAnsi" w:cstheme="minorHAnsi"/>
          <w:b/>
        </w:rPr>
        <w:t>. ul. Dąbrowskiego 75/44, 60-523 Poznań</w:t>
      </w:r>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Corbe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415307"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15307"/>
    <w:rsid w:val="00437410"/>
    <w:rsid w:val="004D2E28"/>
    <w:rsid w:val="005C3F94"/>
    <w:rsid w:val="006152E0"/>
    <w:rsid w:val="006254DF"/>
    <w:rsid w:val="006B7F53"/>
    <w:rsid w:val="00750683"/>
    <w:rsid w:val="00767D65"/>
    <w:rsid w:val="007A0B09"/>
    <w:rsid w:val="00887374"/>
    <w:rsid w:val="00930D0D"/>
    <w:rsid w:val="009827B0"/>
    <w:rsid w:val="009D3D16"/>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1219</Words>
  <Characters>7319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6</cp:revision>
  <cp:lastPrinted>2020-02-11T11:35:00Z</cp:lastPrinted>
  <dcterms:created xsi:type="dcterms:W3CDTF">2020-09-28T11:42:00Z</dcterms:created>
  <dcterms:modified xsi:type="dcterms:W3CDTF">2023-09-11T07:40:00Z</dcterms:modified>
</cp:coreProperties>
</file>