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B29F" w14:textId="77777777" w:rsidR="000859F0" w:rsidRDefault="000859F0">
      <w:pPr>
        <w:spacing w:after="0"/>
        <w:jc w:val="center"/>
        <w:rPr>
          <w:rFonts w:cstheme="minorHAnsi"/>
          <w:b/>
        </w:rPr>
      </w:pPr>
    </w:p>
    <w:p w14:paraId="32317C9E" w14:textId="77777777" w:rsidR="00CC7C99" w:rsidRDefault="00A15684">
      <w:pPr>
        <w:spacing w:after="0"/>
        <w:jc w:val="center"/>
      </w:pPr>
      <w:r>
        <w:rPr>
          <w:rFonts w:cstheme="minorHAnsi"/>
          <w:b/>
        </w:rPr>
        <w:t>Szkolenie pn. „Molestowanie seksualne w miejscu pracy – na czym polega, jak przeciwdziałać i jak reagować?”</w:t>
      </w:r>
    </w:p>
    <w:p w14:paraId="2F8680BB" w14:textId="77777777" w:rsidR="00CC7C99" w:rsidRPr="000859F0" w:rsidRDefault="00A15684">
      <w:pPr>
        <w:spacing w:after="0"/>
        <w:jc w:val="center"/>
        <w:rPr>
          <w:rFonts w:cstheme="minorHAnsi"/>
          <w:bCs/>
        </w:rPr>
      </w:pPr>
      <w:r w:rsidRPr="000859F0">
        <w:rPr>
          <w:rFonts w:cstheme="minorHAnsi"/>
          <w:bCs/>
        </w:rPr>
        <w:t>dla kardy administracyjnej i kierowniczej</w:t>
      </w:r>
    </w:p>
    <w:p w14:paraId="56055CC6" w14:textId="77777777" w:rsidR="00CC7C99" w:rsidRDefault="00CC7C99">
      <w:pPr>
        <w:spacing w:after="0"/>
        <w:jc w:val="center"/>
        <w:rPr>
          <w:rFonts w:cstheme="minorHAnsi"/>
          <w:b/>
        </w:rPr>
      </w:pPr>
    </w:p>
    <w:p w14:paraId="26C505C7" w14:textId="77777777" w:rsidR="00CC7C99" w:rsidRDefault="00A15684">
      <w:pPr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Szkolenie realizowane w ramach projektu pt. „Jeden Uniwersytet – Wiele Możliwości. Program Zintegrowany”. </w:t>
      </w:r>
      <w:r>
        <w:rPr>
          <w:rFonts w:cstheme="minorHAnsi"/>
          <w:i/>
          <w:sz w:val="20"/>
          <w:szCs w:val="20"/>
        </w:rPr>
        <w:br/>
        <w:t>Projekt jest współfinansowany ze środków Unii Europejskiej w ramach środków Europejskiego Funduszu Społecznego, Program Operacyjny Wiedza Edukacja Ro</w:t>
      </w:r>
      <w:r>
        <w:rPr>
          <w:rFonts w:cstheme="minorHAnsi"/>
          <w:i/>
          <w:sz w:val="20"/>
          <w:szCs w:val="20"/>
        </w:rPr>
        <w:t xml:space="preserve">zwój, Oś Priorytetowa III Szkolnictwo wyższe dla gospodarki i rozwoju, </w:t>
      </w:r>
      <w:r>
        <w:rPr>
          <w:rFonts w:cstheme="minorHAnsi"/>
          <w:i/>
          <w:sz w:val="20"/>
          <w:szCs w:val="20"/>
        </w:rPr>
        <w:br/>
        <w:t>Działanie 3.5. Kompleksowe programy szkół wyższych, o numerze POWR.03.05.00-00-Z301/18.</w:t>
      </w:r>
    </w:p>
    <w:p w14:paraId="6F7B61B5" w14:textId="77777777" w:rsidR="00CC7C99" w:rsidRDefault="00A15684">
      <w:pPr>
        <w:rPr>
          <w:rFonts w:cstheme="minorHAnsi"/>
          <w:b/>
          <w:color w:val="0F243E" w:themeColor="text2" w:themeShade="80"/>
        </w:rPr>
      </w:pPr>
      <w:r>
        <w:rPr>
          <w:rFonts w:cstheme="minorHAnsi"/>
          <w:b/>
          <w:color w:val="0F243E" w:themeColor="text2" w:themeShade="80"/>
        </w:rPr>
        <w:t>Abstrakt</w:t>
      </w:r>
    </w:p>
    <w:p w14:paraId="6B60425B" w14:textId="77777777" w:rsidR="00CC7C99" w:rsidRDefault="00A15684" w:rsidP="000859F0">
      <w:r>
        <w:rPr>
          <w:rFonts w:cstheme="minorHAnsi"/>
        </w:rPr>
        <w:t>Molestowanie seksualne to nieakceptowane zachowanie o charakterze seksualnym, którego s</w:t>
      </w:r>
      <w:r>
        <w:rPr>
          <w:rFonts w:cstheme="minorHAnsi"/>
        </w:rPr>
        <w:t>kutkiem jest naruszenie godności lub poniżenie osoby nim dotkniętej. Molestowaniem seksualnym mogą być zachowania fizyczne, werbalne lub pozawerbalne. Według najnowszych badań problem molestowania seksualnego dotyka od 30 nawet do 80% respondentów. Konsekw</w:t>
      </w:r>
      <w:r>
        <w:rPr>
          <w:rFonts w:cstheme="minorHAnsi"/>
        </w:rPr>
        <w:t>encje doświadczenia molestowania seksualnego mogą być bardzo poważne, począwszy od gorszego wykonywania obowiązków w pracy, poprzez problemy w życiu osobistym, doświadczanie silnego stresu</w:t>
      </w:r>
      <w:r w:rsidR="000859F0">
        <w:rPr>
          <w:rFonts w:cstheme="minorHAnsi"/>
        </w:rPr>
        <w:t>,</w:t>
      </w:r>
      <w:r>
        <w:rPr>
          <w:rFonts w:cstheme="minorHAnsi"/>
        </w:rPr>
        <w:t xml:space="preserve"> kończąc na trudnościach natury zdrowotnej</w:t>
      </w:r>
      <w:r w:rsidR="000859F0">
        <w:rPr>
          <w:rFonts w:cstheme="minorHAnsi"/>
        </w:rPr>
        <w:t>,</w:t>
      </w:r>
      <w:r>
        <w:rPr>
          <w:rFonts w:cstheme="minorHAnsi"/>
        </w:rPr>
        <w:t xml:space="preserve"> jak zaburzenia lękowe c</w:t>
      </w:r>
      <w:r>
        <w:rPr>
          <w:rFonts w:cstheme="minorHAnsi"/>
        </w:rPr>
        <w:t xml:space="preserve">zy depresja. </w:t>
      </w:r>
    </w:p>
    <w:p w14:paraId="66DE8296" w14:textId="77777777" w:rsidR="00CC7C99" w:rsidRDefault="00A15684" w:rsidP="000859F0">
      <w:r>
        <w:rPr>
          <w:rFonts w:cstheme="minorHAnsi"/>
        </w:rPr>
        <w:t>Podczas szkolenia poruszone zostaną zagadnienia dotyczące rodzajów molestowania seksualnego, skali zjawiska, jego konsekwencji oraz sposobów zapobiegania a także reagowania. Szkolenie jest podzielone na część wykładową oraz cześć warsztatową.</w:t>
      </w:r>
    </w:p>
    <w:p w14:paraId="01449321" w14:textId="77777777" w:rsidR="00CC7C99" w:rsidRDefault="00A15684">
      <w:pPr>
        <w:rPr>
          <w:rFonts w:cstheme="minorHAnsi"/>
          <w:b/>
          <w:color w:val="0F243E" w:themeColor="text2" w:themeShade="80"/>
        </w:rPr>
      </w:pPr>
      <w:r>
        <w:rPr>
          <w:rFonts w:cstheme="minorHAnsi"/>
          <w:b/>
          <w:color w:val="0F243E" w:themeColor="text2" w:themeShade="80"/>
        </w:rPr>
        <w:t>Cele szkolenia:</w:t>
      </w:r>
    </w:p>
    <w:p w14:paraId="3ECD1C46" w14:textId="77777777" w:rsidR="00CC7C99" w:rsidRDefault="00A15684">
      <w:pPr>
        <w:pStyle w:val="Akapitzlist"/>
        <w:numPr>
          <w:ilvl w:val="0"/>
          <w:numId w:val="5"/>
        </w:numPr>
        <w:spacing w:after="0" w:line="360" w:lineRule="auto"/>
      </w:pPr>
      <w:r>
        <w:rPr>
          <w:rFonts w:cstheme="minorHAnsi"/>
        </w:rPr>
        <w:t>przedstawi</w:t>
      </w:r>
      <w:r w:rsidR="000859F0">
        <w:rPr>
          <w:rFonts w:cstheme="minorHAnsi"/>
        </w:rPr>
        <w:t>enie</w:t>
      </w:r>
      <w:r>
        <w:rPr>
          <w:rFonts w:cstheme="minorHAnsi"/>
        </w:rPr>
        <w:t xml:space="preserve"> aktualnej wiedzy oraz wyników badań dotyczących rodzajów, przyczyn i konsekwencji molestowani</w:t>
      </w:r>
      <w:r w:rsidR="000859F0">
        <w:rPr>
          <w:rFonts w:cstheme="minorHAnsi"/>
        </w:rPr>
        <w:t>a</w:t>
      </w:r>
      <w:r>
        <w:rPr>
          <w:rFonts w:cstheme="minorHAnsi"/>
        </w:rPr>
        <w:t xml:space="preserve"> seksualnego w miejscu pracy (cz</w:t>
      </w:r>
      <w:r w:rsidR="000859F0">
        <w:rPr>
          <w:rFonts w:cstheme="minorHAnsi"/>
        </w:rPr>
        <w:t>ę</w:t>
      </w:r>
      <w:r>
        <w:rPr>
          <w:rFonts w:cstheme="minorHAnsi"/>
        </w:rPr>
        <w:t>ść wykładowa)</w:t>
      </w:r>
      <w:r w:rsidR="000859F0">
        <w:rPr>
          <w:rFonts w:cstheme="minorHAnsi"/>
        </w:rPr>
        <w:t>;</w:t>
      </w:r>
    </w:p>
    <w:p w14:paraId="5DC2879D" w14:textId="77777777" w:rsidR="00CC7C99" w:rsidRDefault="00A15684">
      <w:pPr>
        <w:pStyle w:val="Akapitzlist"/>
        <w:numPr>
          <w:ilvl w:val="0"/>
          <w:numId w:val="5"/>
        </w:numPr>
        <w:spacing w:after="0" w:line="360" w:lineRule="auto"/>
      </w:pPr>
      <w:r>
        <w:rPr>
          <w:rFonts w:cstheme="minorHAnsi"/>
        </w:rPr>
        <w:t>omówienie różnych naturalnych reakcji na doświadczenie molestowania seksualnego or</w:t>
      </w:r>
      <w:r>
        <w:rPr>
          <w:rFonts w:cstheme="minorHAnsi"/>
        </w:rPr>
        <w:t>az proponowanych sposobów reagowania, a także przećwiczenie ich w bezpiecznej przestrzeni (cz</w:t>
      </w:r>
      <w:r w:rsidR="000859F0">
        <w:rPr>
          <w:rFonts w:cstheme="minorHAnsi"/>
        </w:rPr>
        <w:t>ę</w:t>
      </w:r>
      <w:r>
        <w:rPr>
          <w:rFonts w:cstheme="minorHAnsi"/>
        </w:rPr>
        <w:t>ść warsztatowa).</w:t>
      </w:r>
    </w:p>
    <w:p w14:paraId="0AD983B4" w14:textId="77777777" w:rsidR="00CC7C99" w:rsidRDefault="00A15684" w:rsidP="000859F0">
      <w:pPr>
        <w:spacing w:after="0" w:line="360" w:lineRule="auto"/>
      </w:pPr>
      <w:r>
        <w:rPr>
          <w:rFonts w:cstheme="minorHAnsi"/>
        </w:rPr>
        <w:t xml:space="preserve">Efektem </w:t>
      </w:r>
      <w:r w:rsidR="000859F0">
        <w:rPr>
          <w:rFonts w:cstheme="minorHAnsi"/>
        </w:rPr>
        <w:t>szkolenia</w:t>
      </w:r>
      <w:r>
        <w:rPr>
          <w:rFonts w:cstheme="minorHAnsi"/>
        </w:rPr>
        <w:t xml:space="preserve"> będzie większa znajomość problematyki molestowania seksualnego w miejscu pracy oraz wiedza i umiejętności związane z przeciwdzi</w:t>
      </w:r>
      <w:r>
        <w:rPr>
          <w:rFonts w:cstheme="minorHAnsi"/>
        </w:rPr>
        <w:t>ałaniem i reagowaniem</w:t>
      </w:r>
      <w:r w:rsidR="000859F0">
        <w:rPr>
          <w:rFonts w:cstheme="minorHAnsi"/>
        </w:rPr>
        <w:t xml:space="preserve"> na to niepożądane zjawisko. </w:t>
      </w:r>
    </w:p>
    <w:p w14:paraId="559E58EC" w14:textId="77777777" w:rsidR="00CC7C99" w:rsidRDefault="00CC7C99">
      <w:pPr>
        <w:rPr>
          <w:rFonts w:cstheme="minorHAnsi"/>
          <w:b/>
          <w:color w:val="0F243E" w:themeColor="text2" w:themeShade="80"/>
          <w:sz w:val="2"/>
        </w:rPr>
      </w:pPr>
    </w:p>
    <w:p w14:paraId="36C628FB" w14:textId="77777777" w:rsidR="00CC7C99" w:rsidRDefault="00A15684">
      <w:pPr>
        <w:rPr>
          <w:rFonts w:cstheme="minorHAnsi"/>
          <w:b/>
          <w:color w:val="0F243E" w:themeColor="text2" w:themeShade="80"/>
        </w:rPr>
      </w:pPr>
      <w:r>
        <w:rPr>
          <w:rFonts w:cstheme="minorHAnsi"/>
          <w:b/>
          <w:color w:val="0F243E" w:themeColor="text2" w:themeShade="80"/>
        </w:rPr>
        <w:t xml:space="preserve">Forma realizacji </w:t>
      </w:r>
    </w:p>
    <w:p w14:paraId="6B1EF774" w14:textId="77777777" w:rsidR="00CC7C99" w:rsidRDefault="00A15684">
      <w:pPr>
        <w:spacing w:after="0" w:line="360" w:lineRule="auto"/>
      </w:pPr>
      <w:r>
        <w:rPr>
          <w:rFonts w:cstheme="minorHAnsi"/>
        </w:rPr>
        <w:t>Szkolenie będzie realizowane w formie stacjonarnej, z podziałem na część wykładową i warsztatową</w:t>
      </w:r>
      <w:r w:rsidR="000859F0">
        <w:rPr>
          <w:rFonts w:cstheme="minorHAnsi"/>
        </w:rPr>
        <w:t xml:space="preserve">. Grupa będzie liczyć maksymalnie 15 osób. </w:t>
      </w:r>
    </w:p>
    <w:p w14:paraId="1E0807EA" w14:textId="77777777" w:rsidR="00CC7C99" w:rsidRDefault="00CC7C99">
      <w:pPr>
        <w:tabs>
          <w:tab w:val="left" w:pos="1134"/>
        </w:tabs>
        <w:rPr>
          <w:rFonts w:cstheme="minorHAnsi"/>
        </w:rPr>
      </w:pPr>
    </w:p>
    <w:p w14:paraId="35246FB4" w14:textId="77777777" w:rsidR="00CC7C99" w:rsidRDefault="00A15684">
      <w:pPr>
        <w:tabs>
          <w:tab w:val="left" w:pos="1134"/>
        </w:tabs>
        <w:rPr>
          <w:rFonts w:cstheme="minorHAnsi"/>
          <w:b/>
          <w:color w:val="0F243E" w:themeColor="text2" w:themeShade="80"/>
        </w:rPr>
      </w:pPr>
      <w:r>
        <w:rPr>
          <w:rFonts w:cstheme="minorHAnsi"/>
          <w:b/>
          <w:color w:val="0F243E" w:themeColor="text2" w:themeShade="80"/>
        </w:rPr>
        <w:t xml:space="preserve">Program szkolenia: </w:t>
      </w:r>
    </w:p>
    <w:p w14:paraId="51DE221C" w14:textId="77777777" w:rsidR="00CC7C99" w:rsidRDefault="00A15684" w:rsidP="000859F0">
      <w:pPr>
        <w:pStyle w:val="Akapitzlist"/>
        <w:numPr>
          <w:ilvl w:val="0"/>
          <w:numId w:val="6"/>
        </w:numPr>
        <w:tabs>
          <w:tab w:val="left" w:pos="1134"/>
        </w:tabs>
        <w:spacing w:after="0"/>
      </w:pPr>
      <w:r>
        <w:rPr>
          <w:rFonts w:cstheme="minorHAnsi"/>
          <w:sz w:val="21"/>
          <w:szCs w:val="21"/>
        </w:rPr>
        <w:t>Cz</w:t>
      </w:r>
      <w:r w:rsidR="000859F0">
        <w:rPr>
          <w:rFonts w:cstheme="minorHAnsi"/>
          <w:sz w:val="21"/>
          <w:szCs w:val="21"/>
        </w:rPr>
        <w:t>ę</w:t>
      </w:r>
      <w:r>
        <w:rPr>
          <w:rFonts w:cstheme="minorHAnsi"/>
          <w:sz w:val="21"/>
          <w:szCs w:val="21"/>
        </w:rPr>
        <w:t>ść wykładowa: Molestow</w:t>
      </w:r>
      <w:r>
        <w:rPr>
          <w:rFonts w:cstheme="minorHAnsi"/>
          <w:sz w:val="21"/>
          <w:szCs w:val="21"/>
        </w:rPr>
        <w:t>anie seksualne: definicje, skala zjawiska, konsekwencje</w:t>
      </w:r>
    </w:p>
    <w:p w14:paraId="51CF5E38" w14:textId="77777777" w:rsidR="00CC7C99" w:rsidRDefault="00A15684" w:rsidP="000859F0">
      <w:pPr>
        <w:pStyle w:val="Akapitzlist"/>
        <w:numPr>
          <w:ilvl w:val="0"/>
          <w:numId w:val="6"/>
        </w:numPr>
        <w:tabs>
          <w:tab w:val="left" w:pos="1134"/>
        </w:tabs>
        <w:spacing w:after="0"/>
      </w:pPr>
      <w:r>
        <w:rPr>
          <w:rFonts w:cstheme="minorHAnsi"/>
          <w:sz w:val="21"/>
          <w:szCs w:val="21"/>
        </w:rPr>
        <w:t xml:space="preserve">Część warsztatowa: Molestowanie seksualne: zapobieganie i przeciwdziałanie </w:t>
      </w:r>
    </w:p>
    <w:p w14:paraId="1B5E6037" w14:textId="77777777" w:rsidR="00CC7C99" w:rsidRDefault="00CC7C99" w:rsidP="000859F0">
      <w:pPr>
        <w:tabs>
          <w:tab w:val="left" w:pos="1134"/>
        </w:tabs>
        <w:spacing w:after="0"/>
        <w:ind w:left="709"/>
        <w:rPr>
          <w:rFonts w:cstheme="minorHAnsi"/>
          <w:sz w:val="14"/>
          <w:szCs w:val="21"/>
        </w:rPr>
      </w:pPr>
    </w:p>
    <w:p w14:paraId="0E9DD79B" w14:textId="77777777" w:rsidR="00CC7C99" w:rsidRDefault="00A15684" w:rsidP="000859F0">
      <w:pPr>
        <w:tabs>
          <w:tab w:val="left" w:pos="1134"/>
        </w:tabs>
        <w:spacing w:after="0"/>
        <w:ind w:left="709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PODSUMOWANIE, DYSKUSJA, PYTANIA I ODPOWIEDZI</w:t>
      </w:r>
    </w:p>
    <w:p w14:paraId="5864FC92" w14:textId="77777777" w:rsidR="00CC7C99" w:rsidRDefault="00CC7C99">
      <w:pPr>
        <w:rPr>
          <w:rFonts w:cstheme="minorHAnsi"/>
          <w:b/>
          <w:color w:val="0F243E" w:themeColor="text2" w:themeShade="80"/>
        </w:rPr>
      </w:pPr>
    </w:p>
    <w:p w14:paraId="353A4DC6" w14:textId="77777777" w:rsidR="00CC7C99" w:rsidRDefault="00A15684">
      <w:pPr>
        <w:rPr>
          <w:rFonts w:cstheme="minorHAnsi"/>
          <w:b/>
          <w:color w:val="0F243E" w:themeColor="text2" w:themeShade="80"/>
        </w:rPr>
      </w:pPr>
      <w:r>
        <w:rPr>
          <w:rFonts w:cstheme="minorHAnsi"/>
          <w:b/>
          <w:color w:val="0F243E" w:themeColor="text2" w:themeShade="80"/>
        </w:rPr>
        <w:t>Prowadząca</w:t>
      </w:r>
    </w:p>
    <w:p w14:paraId="18C66B84" w14:textId="77777777" w:rsidR="000859F0" w:rsidRPr="00532605" w:rsidRDefault="00A15684" w:rsidP="00532605">
      <w:pPr>
        <w:pStyle w:val="NormalnyWeb"/>
        <w:rPr>
          <w:rFonts w:asciiTheme="minorHAnsi" w:eastAsiaTheme="minorHAnsi" w:hAnsiTheme="minorHAnsi" w:cstheme="minorHAnsi"/>
        </w:rPr>
      </w:pPr>
      <w:r w:rsidRPr="0053260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dr Dagna Kocur</w:t>
      </w:r>
      <w:r w:rsidR="000859F0" w:rsidRP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 w:rsidR="000859F0" w:rsidRP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32605" w:rsidRPr="00532605">
        <w:rPr>
          <w:rFonts w:asciiTheme="minorHAnsi" w:eastAsiaTheme="minorHAnsi" w:hAnsiTheme="minorHAnsi" w:cstheme="minorHAnsi"/>
          <w:sz w:val="22"/>
          <w:szCs w:val="22"/>
          <w:lang w:eastAsia="en-US"/>
        </w:rPr>
        <w:t>Pełnomocniczka rektora ds. przeciwdziałania molestowaniu seksualnemu</w:t>
      </w:r>
      <w:r w:rsidR="0053260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naszej Uczelni</w:t>
      </w:r>
      <w:r w:rsidR="00532605" w:rsidRPr="0053260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53260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wykształcenia </w:t>
      </w:r>
      <w:r w:rsidR="000859F0" w:rsidRP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>psycholożk</w:t>
      </w:r>
      <w:r w:rsid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a; </w:t>
      </w:r>
      <w:r w:rsidR="000859F0" w:rsidRP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>od 2010 roku pracuj</w:t>
      </w:r>
      <w:r w:rsid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="000859F0" w:rsidRP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Instytucie Psychologii Uniwersytetu Śląskiego. </w:t>
      </w:r>
      <w:r w:rsid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="000859F0" w:rsidRP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>rowadz</w:t>
      </w:r>
      <w:r w:rsid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</w:t>
      </w:r>
      <w:r w:rsidR="000859F0" w:rsidRP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badania oraz zajęcia dydaktyczne z zakresu seksuologii, komunikacji i psychologii społecznej. Podyplomowo ukończyła studia z zakresu seksuologii klinicznej oraz uważności, a także liczne kursy </w:t>
      </w:r>
      <w:r w:rsid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obszaru </w:t>
      </w:r>
      <w:r w:rsidR="000859F0" w:rsidRP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>psychoterapii.</w:t>
      </w:r>
      <w:r w:rsid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859F0" w:rsidRP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>Od lat towarzysz</w:t>
      </w:r>
      <w:r w:rsid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="000859F0" w:rsidRP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osobom w naszej społeczności w różnego rodzaju trudnych doświadczeniach. Prowadz</w:t>
      </w:r>
      <w:r w:rsid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="000859F0" w:rsidRP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również zajęcia z medytacji </w:t>
      </w:r>
      <w:r w:rsid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</w:t>
      </w:r>
      <w:r w:rsidR="000859F0" w:rsidRPr="000859F0">
        <w:rPr>
          <w:rFonts w:asciiTheme="minorHAnsi" w:eastAsiaTheme="minorHAnsi" w:hAnsiTheme="minorHAnsi" w:cstheme="minorHAnsi"/>
          <w:sz w:val="22"/>
          <w:szCs w:val="22"/>
          <w:lang w:eastAsia="en-US"/>
        </w:rPr>
        <w:t>uważności, która może być cennym wsparciem w trudnych chwilach. Jest też członkinią zespołu Rzecznika Praw Studenta i Doktoranta.</w:t>
      </w:r>
    </w:p>
    <w:p w14:paraId="0F175E7A" w14:textId="77777777" w:rsidR="00CC7C99" w:rsidRDefault="00CC7C99" w:rsidP="000859F0">
      <w:pPr>
        <w:rPr>
          <w:rFonts w:cstheme="minorHAnsi"/>
          <w:b/>
          <w:color w:val="0F243E" w:themeColor="text2" w:themeShade="80"/>
        </w:rPr>
      </w:pPr>
    </w:p>
    <w:p w14:paraId="0E9038A7" w14:textId="77777777" w:rsidR="00CC7C99" w:rsidRDefault="00A15684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Harmonogram szkolenia</w:t>
      </w:r>
    </w:p>
    <w:p w14:paraId="4DDA1956" w14:textId="77777777" w:rsidR="00CC7C99" w:rsidRDefault="00A15684">
      <w:pPr>
        <w:spacing w:after="0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Szkolenie realizowane w terminach: </w:t>
      </w:r>
    </w:p>
    <w:p w14:paraId="430ADAB3" w14:textId="77777777" w:rsidR="00CC7C99" w:rsidRDefault="00A15684">
      <w:pPr>
        <w:spacing w:after="0"/>
        <w:jc w:val="center"/>
      </w:pPr>
      <w:r>
        <w:rPr>
          <w:rFonts w:cstheme="minorHAnsi"/>
          <w:b/>
        </w:rPr>
        <w:t>20 listopada 2023 – grupa 1</w:t>
      </w:r>
    </w:p>
    <w:p w14:paraId="1274D26E" w14:textId="77777777" w:rsidR="00CC7C99" w:rsidRDefault="00A15684">
      <w:pPr>
        <w:spacing w:after="0"/>
        <w:jc w:val="center"/>
      </w:pPr>
      <w:r>
        <w:rPr>
          <w:rFonts w:cstheme="minorHAnsi"/>
          <w:b/>
        </w:rPr>
        <w:t>27 listopada 2023 – grupa 2</w:t>
      </w:r>
    </w:p>
    <w:p w14:paraId="26B991CA" w14:textId="77777777" w:rsidR="00CC7C99" w:rsidRDefault="00CC7C99">
      <w:pPr>
        <w:jc w:val="center"/>
        <w:rPr>
          <w:rFonts w:cstheme="minorHAnsi"/>
          <w:i/>
          <w:sz w:val="1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37"/>
        <w:gridCol w:w="7230"/>
      </w:tblGrid>
      <w:tr w:rsidR="00CC7C99" w14:paraId="05DDECB1" w14:textId="77777777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C554" w14:textId="77777777" w:rsidR="00CC7C99" w:rsidRDefault="00A1568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/>
                <w:i/>
                <w:sz w:val="20"/>
                <w:szCs w:val="20"/>
                <w:lang w:eastAsia="pl-PL"/>
              </w:rPr>
              <w:t>Godziny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10446" w14:textId="77777777" w:rsidR="00CC7C99" w:rsidRDefault="00A1568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b/>
                <w:i/>
                <w:sz w:val="20"/>
                <w:szCs w:val="20"/>
                <w:lang w:eastAsia="pl-PL"/>
              </w:rPr>
              <w:t xml:space="preserve">Zakres tematyczny </w:t>
            </w:r>
          </w:p>
        </w:tc>
      </w:tr>
      <w:tr w:rsidR="00CC7C99" w14:paraId="36C028ED" w14:textId="77777777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EE23" w14:textId="77777777" w:rsidR="00CC7C99" w:rsidRDefault="00CC7C9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</w:p>
          <w:p w14:paraId="50357228" w14:textId="77777777" w:rsidR="00CC7C99" w:rsidRDefault="00A15684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i/>
                <w:sz w:val="20"/>
                <w:szCs w:val="20"/>
                <w:lang w:eastAsia="pl-PL"/>
              </w:rPr>
              <w:t>9.00 – 9.15</w:t>
            </w:r>
          </w:p>
          <w:p w14:paraId="2D694046" w14:textId="77777777" w:rsidR="00CC7C99" w:rsidRDefault="00CC7C9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38BCE" w14:textId="77777777" w:rsidR="00CC7C99" w:rsidRDefault="00CC7C9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</w:p>
          <w:p w14:paraId="03A73787" w14:textId="77777777" w:rsidR="00CC7C99" w:rsidRDefault="00A15684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i/>
                <w:sz w:val="20"/>
                <w:szCs w:val="20"/>
                <w:lang w:eastAsia="pl-PL"/>
              </w:rPr>
              <w:t>Test sprawdzający (</w:t>
            </w:r>
            <w:proofErr w:type="spellStart"/>
            <w:r>
              <w:rPr>
                <w:rFonts w:eastAsia="Calibri" w:cs="Calibri"/>
                <w:i/>
                <w:sz w:val="20"/>
                <w:szCs w:val="20"/>
                <w:lang w:eastAsia="pl-PL"/>
              </w:rPr>
              <w:t>pre</w:t>
            </w:r>
            <w:proofErr w:type="spellEnd"/>
            <w:r>
              <w:rPr>
                <w:rFonts w:eastAsia="Calibri" w:cs="Calibri"/>
                <w:i/>
                <w:sz w:val="20"/>
                <w:szCs w:val="20"/>
                <w:lang w:eastAsia="pl-PL"/>
              </w:rPr>
              <w:t xml:space="preserve"> test)</w:t>
            </w:r>
          </w:p>
          <w:p w14:paraId="4109F9C7" w14:textId="77777777" w:rsidR="00CC7C99" w:rsidRDefault="00CC7C99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</w:p>
        </w:tc>
      </w:tr>
      <w:tr w:rsidR="00CC7C99" w14:paraId="6E99F4A0" w14:textId="77777777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D994" w14:textId="77777777" w:rsidR="00CC7C99" w:rsidRDefault="00CC7C9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</w:p>
          <w:p w14:paraId="5A1DAF32" w14:textId="77777777" w:rsidR="00CC7C99" w:rsidRDefault="00A15684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i/>
                <w:sz w:val="20"/>
                <w:szCs w:val="20"/>
                <w:lang w:eastAsia="pl-PL"/>
              </w:rPr>
              <w:t>– 10.45</w:t>
            </w:r>
          </w:p>
          <w:p w14:paraId="3FD7065A" w14:textId="77777777" w:rsidR="00CC7C99" w:rsidRDefault="00CC7C9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87D5" w14:textId="77777777" w:rsidR="00CC7C99" w:rsidRDefault="00A15684" w:rsidP="000859F0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sz w:val="20"/>
                <w:szCs w:val="20"/>
                <w:lang w:eastAsia="pl-PL"/>
              </w:rPr>
              <w:t xml:space="preserve">Część wykładowa: </w:t>
            </w:r>
            <w:r>
              <w:rPr>
                <w:rFonts w:eastAsia="Calibri" w:cstheme="minorHAnsi"/>
                <w:sz w:val="20"/>
                <w:szCs w:val="20"/>
                <w:lang w:eastAsia="pl-PL"/>
              </w:rPr>
              <w:t>Molestowanie seksualne: definicje, skala zjawiska, konsekwencje</w:t>
            </w:r>
          </w:p>
          <w:p w14:paraId="3636C7C1" w14:textId="77777777" w:rsidR="00CC7C99" w:rsidRDefault="00CC7C99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</w:tc>
      </w:tr>
      <w:tr w:rsidR="00CC7C99" w14:paraId="66DBC3B8" w14:textId="77777777">
        <w:trPr>
          <w:trHeight w:val="228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AA333" w14:textId="77777777" w:rsidR="00CC7C99" w:rsidRDefault="00A15684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i/>
                <w:sz w:val="20"/>
                <w:szCs w:val="20"/>
                <w:lang w:eastAsia="pl-PL"/>
              </w:rPr>
              <w:t>10.45 – 11.00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A5C9" w14:textId="77777777" w:rsidR="00CC7C99" w:rsidRDefault="00A15684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i/>
                <w:sz w:val="20"/>
                <w:szCs w:val="20"/>
                <w:lang w:eastAsia="pl-PL"/>
              </w:rPr>
              <w:t>Przerwa</w:t>
            </w:r>
          </w:p>
        </w:tc>
      </w:tr>
      <w:tr w:rsidR="00CC7C99" w14:paraId="18BED1C3" w14:textId="77777777">
        <w:trPr>
          <w:trHeight w:val="1040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506D" w14:textId="77777777" w:rsidR="00CC7C99" w:rsidRDefault="00CC7C9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</w:p>
          <w:p w14:paraId="794A17B9" w14:textId="77777777" w:rsidR="00CC7C99" w:rsidRDefault="00A15684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i/>
                <w:sz w:val="20"/>
                <w:szCs w:val="20"/>
                <w:lang w:eastAsia="pl-PL"/>
              </w:rPr>
              <w:t>11.00 – 12.</w:t>
            </w:r>
            <w:r w:rsidR="000859F0">
              <w:rPr>
                <w:rFonts w:eastAsia="Calibri" w:cs="Calibri"/>
                <w:i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01E7" w14:textId="77777777" w:rsidR="00CC7C99" w:rsidRDefault="00A15684" w:rsidP="000859F0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sz w:val="20"/>
                <w:szCs w:val="20"/>
                <w:lang w:eastAsia="pl-PL"/>
              </w:rPr>
              <w:t xml:space="preserve">Część warsztatowa: Molestowanie seksualne: zapobieganie i przeciwdziałanie </w:t>
            </w:r>
          </w:p>
        </w:tc>
      </w:tr>
      <w:tr w:rsidR="00CC7C99" w14:paraId="229E3731" w14:textId="77777777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ED52" w14:textId="77777777" w:rsidR="00CC7C99" w:rsidRDefault="00CC7C9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</w:p>
          <w:p w14:paraId="727A4791" w14:textId="77777777" w:rsidR="00CC7C99" w:rsidRDefault="00A15684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i/>
                <w:sz w:val="20"/>
                <w:szCs w:val="20"/>
                <w:lang w:eastAsia="pl-PL"/>
              </w:rPr>
              <w:t>12.</w:t>
            </w:r>
            <w:r w:rsidR="000859F0">
              <w:rPr>
                <w:rFonts w:eastAsia="Calibri" w:cs="Calibri"/>
                <w:i/>
                <w:sz w:val="20"/>
                <w:szCs w:val="20"/>
                <w:lang w:eastAsia="pl-PL"/>
              </w:rPr>
              <w:t>30</w:t>
            </w:r>
            <w:r>
              <w:rPr>
                <w:rFonts w:eastAsia="Calibri" w:cs="Calibri"/>
                <w:i/>
                <w:sz w:val="20"/>
                <w:szCs w:val="20"/>
                <w:lang w:eastAsia="pl-PL"/>
              </w:rPr>
              <w:t xml:space="preserve"> – 13.00</w:t>
            </w:r>
          </w:p>
          <w:p w14:paraId="58186B5A" w14:textId="77777777" w:rsidR="00CC7C99" w:rsidRDefault="00CC7C99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B4844" w14:textId="77777777" w:rsidR="00CC7C99" w:rsidRDefault="00CC7C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</w:p>
          <w:p w14:paraId="66703A1C" w14:textId="77777777" w:rsidR="00CC7C99" w:rsidRPr="000859F0" w:rsidRDefault="00A15684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pl-PL"/>
              </w:rPr>
            </w:pPr>
            <w:r w:rsidRPr="000859F0">
              <w:rPr>
                <w:rFonts w:eastAsia="Calibri" w:cs="Calibri"/>
                <w:bCs/>
                <w:i/>
                <w:sz w:val="20"/>
                <w:szCs w:val="20"/>
                <w:lang w:eastAsia="pl-PL"/>
              </w:rPr>
              <w:t>PODSUMOWANIE, DYSKUSJA, PYTANIA I ODPOWIEDZI</w:t>
            </w:r>
          </w:p>
          <w:p w14:paraId="7A72231A" w14:textId="77777777" w:rsidR="00CC7C99" w:rsidRDefault="00A15684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i/>
                <w:sz w:val="20"/>
                <w:szCs w:val="20"/>
                <w:lang w:eastAsia="pl-PL"/>
              </w:rPr>
              <w:t>Test sprawdzający (post test)</w:t>
            </w:r>
          </w:p>
          <w:p w14:paraId="07B9A1F9" w14:textId="77777777" w:rsidR="00CC7C99" w:rsidRDefault="00A15684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  <w:r>
              <w:rPr>
                <w:rFonts w:eastAsia="Calibri" w:cs="Calibri"/>
                <w:i/>
                <w:sz w:val="20"/>
                <w:szCs w:val="20"/>
                <w:lang w:eastAsia="pl-PL"/>
              </w:rPr>
              <w:t xml:space="preserve">Ankieta </w:t>
            </w:r>
            <w:r w:rsidR="000859F0">
              <w:rPr>
                <w:rFonts w:eastAsia="Calibri" w:cs="Calibri"/>
                <w:i/>
                <w:sz w:val="20"/>
                <w:szCs w:val="20"/>
                <w:lang w:eastAsia="pl-PL"/>
              </w:rPr>
              <w:t>ewaluacyjna</w:t>
            </w:r>
          </w:p>
          <w:p w14:paraId="778774F1" w14:textId="77777777" w:rsidR="00CC7C99" w:rsidRDefault="00CC7C99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  <w:i/>
                <w:sz w:val="20"/>
                <w:szCs w:val="20"/>
                <w:lang w:eastAsia="pl-PL"/>
              </w:rPr>
            </w:pPr>
          </w:p>
        </w:tc>
      </w:tr>
    </w:tbl>
    <w:p w14:paraId="2AB80D2C" w14:textId="77777777" w:rsidR="00CC7C99" w:rsidRDefault="00CC7C99">
      <w:pPr>
        <w:rPr>
          <w:rFonts w:cstheme="minorHAnsi"/>
        </w:rPr>
      </w:pPr>
    </w:p>
    <w:p w14:paraId="71DE1790" w14:textId="77777777" w:rsidR="00CC7C99" w:rsidRDefault="00CC7C99"/>
    <w:sectPr w:rsidR="00CC7C99">
      <w:headerReference w:type="default" r:id="rId7"/>
      <w:footerReference w:type="default" r:id="rId8"/>
      <w:pgSz w:w="11906" w:h="16838"/>
      <w:pgMar w:top="766" w:right="680" w:bottom="766" w:left="680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1D7B" w14:textId="77777777" w:rsidR="00AA39B1" w:rsidRDefault="00AA39B1">
      <w:pPr>
        <w:spacing w:after="0" w:line="240" w:lineRule="auto"/>
      </w:pPr>
      <w:r>
        <w:separator/>
      </w:r>
    </w:p>
  </w:endnote>
  <w:endnote w:type="continuationSeparator" w:id="0">
    <w:p w14:paraId="6AE31AF7" w14:textId="77777777" w:rsidR="00AA39B1" w:rsidRDefault="00AA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C7C99" w14:paraId="125B460C" w14:textId="77777777">
      <w:tc>
        <w:tcPr>
          <w:tcW w:w="3227" w:type="dxa"/>
          <w:tcBorders>
            <w:top w:val="single" w:sz="12" w:space="0" w:color="808080"/>
            <w:left w:val="nil"/>
            <w:bottom w:val="nil"/>
            <w:right w:val="nil"/>
          </w:tcBorders>
          <w:shd w:val="clear" w:color="auto" w:fill="auto"/>
        </w:tcPr>
        <w:p w14:paraId="6190113D" w14:textId="77777777" w:rsidR="00CC7C99" w:rsidRDefault="00A15684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6EF23C88" w14:textId="77777777" w:rsidR="00CC7C99" w:rsidRDefault="00A15684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2.9</w:t>
          </w:r>
        </w:p>
      </w:tc>
      <w:tc>
        <w:tcPr>
          <w:tcW w:w="5103" w:type="dxa"/>
          <w:tcBorders>
            <w:top w:val="single" w:sz="12" w:space="0" w:color="808080"/>
            <w:left w:val="nil"/>
            <w:bottom w:val="nil"/>
            <w:right w:val="nil"/>
          </w:tcBorders>
          <w:shd w:val="clear" w:color="auto" w:fill="auto"/>
        </w:tcPr>
        <w:p w14:paraId="5E091268" w14:textId="77777777" w:rsidR="00CC7C99" w:rsidRDefault="00A15684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2A230BA" wp14:editId="033442AA">
                <wp:extent cx="2174240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4240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/>
            <w:left w:val="nil"/>
            <w:bottom w:val="nil"/>
            <w:right w:val="nil"/>
          </w:tcBorders>
          <w:shd w:val="clear" w:color="auto" w:fill="auto"/>
        </w:tcPr>
        <w:p w14:paraId="1D141A4B" w14:textId="77777777" w:rsidR="00CC7C99" w:rsidRDefault="00A15684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2741620D" w14:textId="77777777" w:rsidR="00CC7C99" w:rsidRDefault="00A15684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>
            <w:rPr>
              <w:rFonts w:ascii="Wingdings" w:eastAsia="Wingdings" w:hAnsi="Wingdings" w:cs="Wingdings"/>
              <w:color w:val="404040" w:themeColor="text1" w:themeTint="BF"/>
              <w:sz w:val="18"/>
              <w:szCs w:val="18"/>
            </w:rPr>
            <w:t></w:t>
          </w:r>
          <w:r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529AEC1C" w14:textId="77777777" w:rsidR="00CC7C99" w:rsidRDefault="00CC7C99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F38F" w14:textId="77777777" w:rsidR="00AA39B1" w:rsidRDefault="00AA39B1">
      <w:pPr>
        <w:spacing w:after="0" w:line="240" w:lineRule="auto"/>
      </w:pPr>
      <w:r>
        <w:separator/>
      </w:r>
    </w:p>
  </w:footnote>
  <w:footnote w:type="continuationSeparator" w:id="0">
    <w:p w14:paraId="0148458F" w14:textId="77777777" w:rsidR="00AA39B1" w:rsidRDefault="00AA3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9BB2" w14:textId="77777777" w:rsidR="00CC7C99" w:rsidRDefault="00A15684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</w:rPr>
    </w:pPr>
    <w:r>
      <w:rPr>
        <w:noProof/>
      </w:rPr>
      <w:drawing>
        <wp:inline distT="0" distB="1905" distL="0" distR="0" wp14:anchorId="4089DC1E" wp14:editId="03CE3AED">
          <wp:extent cx="6275705" cy="53149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5705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B4F3DA" w14:textId="77777777" w:rsidR="00CC7C99" w:rsidRDefault="00A15684">
    <w:pPr>
      <w:pStyle w:val="Nagwek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>
      <w:rPr>
        <w:rFonts w:ascii="PT Sans" w:hAnsi="PT Sans" w:cstheme="minorHAnsi"/>
        <w:i/>
      </w:rPr>
      <w:t xml:space="preserve">Projekt pt. </w:t>
    </w:r>
    <w:r>
      <w:rPr>
        <w:rFonts w:ascii="PT Sans" w:hAnsi="PT Sans" w:cstheme="minorHAnsi"/>
        <w:b/>
        <w:i/>
      </w:rPr>
      <w:t xml:space="preserve">„Jeden Uniwersytet – Wiele </w:t>
    </w:r>
    <w:r>
      <w:rPr>
        <w:rFonts w:ascii="PT Sans" w:hAnsi="PT Sans" w:cstheme="minorHAnsi"/>
        <w:b/>
        <w:i/>
      </w:rPr>
      <w:t>Możliwości. Program Zintegrowany”</w:t>
    </w:r>
  </w:p>
  <w:p w14:paraId="1CFBB329" w14:textId="77777777" w:rsidR="00CC7C99" w:rsidRDefault="00A15684">
    <w:pPr>
      <w:pStyle w:val="Nagwek"/>
      <w:spacing w:after="80"/>
      <w:jc w:val="center"/>
      <w:rPr>
        <w:rFonts w:ascii="PT Sans" w:hAnsi="PT Sans"/>
      </w:rPr>
    </w:pPr>
    <w:r>
      <w:rPr>
        <w:noProof/>
      </w:rPr>
      <mc:AlternateContent>
        <mc:Choice Requires="wps">
          <w:drawing>
            <wp:inline distT="0" distB="50800" distL="0" distR="0" wp14:anchorId="19B74947" wp14:editId="2782DE98">
              <wp:extent cx="5761355" cy="1270"/>
              <wp:effectExtent l="0" t="0" r="0" b="0"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72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 xmlns:oel="http://schemas.microsoft.com/office/2019/extlst">
          <w:pict>
            <v:rect id="shape_0" fillcolor="#aca899" stroked="f" style="position:absolute;margin-left:0pt;margin-top:-4.1pt;width:453.55pt;height:0pt;mso-position-horizontal:center;mso-position-vertical:top">
              <w10:wrap type="none"/>
              <v:fill o:detectmouseclick="t" type="solid" color2="#535766"/>
              <v:stroke color="#3465a4" joinstyle="round" endcap="fla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AF8"/>
    <w:multiLevelType w:val="multilevel"/>
    <w:tmpl w:val="3BB4F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0473F9"/>
    <w:multiLevelType w:val="multilevel"/>
    <w:tmpl w:val="EC587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1C81291B"/>
    <w:multiLevelType w:val="multilevel"/>
    <w:tmpl w:val="666E0590"/>
    <w:lvl w:ilvl="0">
      <w:start w:val="1"/>
      <w:numFmt w:val="decimal"/>
      <w:lvlText w:val="%1."/>
      <w:lvlJc w:val="left"/>
      <w:pPr>
        <w:ind w:left="1149" w:hanging="44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EF31C5"/>
    <w:multiLevelType w:val="multilevel"/>
    <w:tmpl w:val="3C1C55B0"/>
    <w:lvl w:ilvl="0">
      <w:start w:val="9"/>
      <w:numFmt w:val="decimal"/>
      <w:lvlText w:val="%1"/>
      <w:lvlJc w:val="left"/>
      <w:pPr>
        <w:ind w:left="390" w:hanging="390"/>
      </w:pPr>
    </w:lvl>
    <w:lvl w:ilvl="1">
      <w:start w:val="15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38A41A74"/>
    <w:multiLevelType w:val="multilevel"/>
    <w:tmpl w:val="37F41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9C2EFE"/>
    <w:multiLevelType w:val="multilevel"/>
    <w:tmpl w:val="FAA2C1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83306EF"/>
    <w:multiLevelType w:val="multilevel"/>
    <w:tmpl w:val="38241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C99"/>
    <w:rsid w:val="000859F0"/>
    <w:rsid w:val="00532605"/>
    <w:rsid w:val="00A15684"/>
    <w:rsid w:val="00AA39B1"/>
    <w:rsid w:val="00CC7C99"/>
    <w:rsid w:val="00F0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FA78"/>
  <w15:docId w15:val="{C4E95BB5-DF8B-6643-B43D-05B146D5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6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7D6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7F37"/>
  </w:style>
  <w:style w:type="character" w:customStyle="1" w:styleId="StopkaZnak">
    <w:name w:val="Stopka Znak"/>
    <w:basedOn w:val="Domylnaczcionkaakapitu"/>
    <w:link w:val="Stopka"/>
    <w:uiPriority w:val="99"/>
    <w:qFormat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B5CB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B5CB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B5CB1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425DD8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000000"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">
    <w:name w:val="ListLabel 10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1">
    <w:name w:val="ListLabel 11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3">
    <w:name w:val="ListLabel 1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4">
    <w:name w:val="ListLabel 14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6">
    <w:name w:val="ListLabel 1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7">
    <w:name w:val="ListLabel 17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Courier New" w:cs="Courier New"/>
    </w:rPr>
  </w:style>
  <w:style w:type="character" w:customStyle="1" w:styleId="ListLabel23">
    <w:name w:val="ListLabel 23"/>
    <w:qFormat/>
    <w:rPr>
      <w:rFonts w:eastAsia="Noto Sans Symbols" w:cs="Noto Sans Symbols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5">
    <w:name w:val="ListLabel 25"/>
    <w:qFormat/>
    <w:rPr>
      <w:rFonts w:eastAsia="Courier New" w:cs="Courier New"/>
    </w:rPr>
  </w:style>
  <w:style w:type="character" w:customStyle="1" w:styleId="ListLabel26">
    <w:name w:val="ListLabel 26"/>
    <w:qFormat/>
    <w:rPr>
      <w:rFonts w:eastAsia="Noto Sans Symbols" w:cs="Noto Sans Symbols"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8">
    <w:name w:val="ListLabel 28"/>
    <w:qFormat/>
    <w:rPr>
      <w:rFonts w:eastAsia="Courier New" w:cs="Courier New"/>
    </w:rPr>
  </w:style>
  <w:style w:type="character" w:customStyle="1" w:styleId="ListLabel29">
    <w:name w:val="ListLabel 29"/>
    <w:qFormat/>
    <w:rPr>
      <w:rFonts w:eastAsia="Noto Sans Symbols" w:cs="Noto Sans Symbols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67D6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B5CB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B5CB1"/>
    <w:rPr>
      <w:b/>
      <w:bCs/>
    </w:rPr>
  </w:style>
  <w:style w:type="table" w:styleId="Tabela-Siatka">
    <w:name w:val="Table Grid"/>
    <w:basedOn w:val="Standardowy"/>
    <w:uiPriority w:val="59"/>
    <w:rsid w:val="00767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1">
    <w:name w:val="Light List Accent 1"/>
    <w:basedOn w:val="Standardowy"/>
    <w:uiPriority w:val="61"/>
    <w:rsid w:val="004D5D3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a-Siatka3">
    <w:name w:val="Tabela - Siatka3"/>
    <w:basedOn w:val="Standardowy"/>
    <w:uiPriority w:val="59"/>
    <w:rsid w:val="00464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8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60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3086</Characters>
  <Application>Microsoft Office Word</Application>
  <DocSecurity>4</DocSecurity>
  <Lines>25</Lines>
  <Paragraphs>7</Paragraphs>
  <ScaleCrop>false</ScaleCrop>
  <Company>Uniwersystet Śląski w Katowicach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Karpa</dc:creator>
  <dc:description/>
  <cp:lastModifiedBy>Karol Mazur</cp:lastModifiedBy>
  <cp:revision>2</cp:revision>
  <cp:lastPrinted>2020-02-11T11:35:00Z</cp:lastPrinted>
  <dcterms:created xsi:type="dcterms:W3CDTF">2023-10-27T10:11:00Z</dcterms:created>
  <dcterms:modified xsi:type="dcterms:W3CDTF">2023-10-27T10:11:00Z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Uniwersystet Śląski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