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2F6AB" w14:textId="7ADB75C0" w:rsidR="00607D89" w:rsidRDefault="00607D89" w:rsidP="00D327BE">
      <w:pPr>
        <w:tabs>
          <w:tab w:val="left" w:pos="567"/>
        </w:tabs>
        <w:ind w:left="284"/>
      </w:pPr>
      <w:r>
        <w:t>CHANGE MANAGEMENT</w:t>
      </w:r>
      <w:r w:rsidR="00753258">
        <w:t xml:space="preserve"> dla kadry kierowniczej</w:t>
      </w:r>
      <w:r w:rsidR="00753258" w:rsidRPr="00D327BE">
        <w:t>.</w:t>
      </w:r>
    </w:p>
    <w:p w14:paraId="3827735A" w14:textId="31EDB8F1" w:rsidR="00D327BE" w:rsidRPr="00D327BE" w:rsidRDefault="00D327BE" w:rsidP="00D327BE">
      <w:pPr>
        <w:tabs>
          <w:tab w:val="left" w:pos="567"/>
        </w:tabs>
        <w:ind w:left="284"/>
        <w:rPr>
          <w:i/>
        </w:rPr>
      </w:pPr>
      <w:r>
        <w:rPr>
          <w:i/>
        </w:rPr>
        <w:t>Wprowadzaj zmiany z myślą o ludziach.</w:t>
      </w:r>
    </w:p>
    <w:p w14:paraId="6DE1BB29" w14:textId="77777777" w:rsidR="00D327BE" w:rsidRDefault="00D327BE" w:rsidP="00144C8F">
      <w:pPr>
        <w:tabs>
          <w:tab w:val="left" w:pos="567"/>
        </w:tabs>
        <w:ind w:left="284"/>
        <w:jc w:val="both"/>
      </w:pPr>
    </w:p>
    <w:p w14:paraId="07D6026B" w14:textId="77777777" w:rsidR="00D327BE" w:rsidRDefault="00D327BE" w:rsidP="00144C8F">
      <w:pPr>
        <w:tabs>
          <w:tab w:val="left" w:pos="567"/>
        </w:tabs>
        <w:ind w:left="284"/>
        <w:jc w:val="both"/>
      </w:pPr>
    </w:p>
    <w:p w14:paraId="25DAFD99" w14:textId="5FC1AED4" w:rsidR="00E7189E" w:rsidRPr="00753258" w:rsidRDefault="00E7189E" w:rsidP="00144C8F">
      <w:pPr>
        <w:tabs>
          <w:tab w:val="left" w:pos="567"/>
        </w:tabs>
        <w:ind w:left="284"/>
        <w:jc w:val="both"/>
      </w:pPr>
      <w:r>
        <w:t xml:space="preserve">Zespół zarządzający zmianą to ten zespół, który odpowiada za wprowadzenie zmiany </w:t>
      </w:r>
      <w:r w:rsidR="00753258">
        <w:br/>
      </w:r>
      <w:r>
        <w:t xml:space="preserve">w organizacji. </w:t>
      </w:r>
      <w:r w:rsidRPr="00753258">
        <w:t xml:space="preserve">Szkolenie jest przeznaczone </w:t>
      </w:r>
      <w:r w:rsidR="00753258" w:rsidRPr="00753258">
        <w:t xml:space="preserve">dla kadry kierowniczej zarówno planującej jak i wdrażającej zmiany. Szkolenie może być przydatne </w:t>
      </w:r>
      <w:r w:rsidRPr="00753258">
        <w:t xml:space="preserve">którzy odpowiadają za tworzenie wizji zmiany i planów zmiany. </w:t>
      </w:r>
    </w:p>
    <w:p w14:paraId="7737555F" w14:textId="77777777" w:rsidR="00D327BE" w:rsidRDefault="00D327BE" w:rsidP="00144C8F">
      <w:pPr>
        <w:tabs>
          <w:tab w:val="left" w:pos="567"/>
        </w:tabs>
        <w:ind w:left="284"/>
        <w:jc w:val="both"/>
      </w:pPr>
    </w:p>
    <w:p w14:paraId="252C791A" w14:textId="0D64C4E2" w:rsidR="00D327BE" w:rsidRDefault="00D327BE" w:rsidP="00D327BE">
      <w:pPr>
        <w:tabs>
          <w:tab w:val="left" w:pos="567"/>
        </w:tabs>
        <w:ind w:left="284"/>
        <w:jc w:val="both"/>
        <w:rPr>
          <w:b/>
        </w:rPr>
      </w:pPr>
      <w:r w:rsidRPr="00D327BE">
        <w:rPr>
          <w:b/>
        </w:rPr>
        <w:t xml:space="preserve">Kluczowe kompetencje kształtowane podczas szkolenia: </w:t>
      </w:r>
      <w:r>
        <w:rPr>
          <w:b/>
        </w:rPr>
        <w:t>planowanie zmiany, motywowanie, komunikowanie, uczenie ludzi.</w:t>
      </w:r>
    </w:p>
    <w:p w14:paraId="06EB5692" w14:textId="77777777" w:rsidR="00D327BE" w:rsidRPr="00D327BE" w:rsidRDefault="00D327BE" w:rsidP="00D327BE">
      <w:pPr>
        <w:tabs>
          <w:tab w:val="left" w:pos="567"/>
        </w:tabs>
        <w:ind w:left="284"/>
        <w:jc w:val="both"/>
        <w:rPr>
          <w:b/>
        </w:rPr>
      </w:pPr>
    </w:p>
    <w:p w14:paraId="15B6576C" w14:textId="37F1961F" w:rsidR="002E1E0B" w:rsidRPr="002E1E0B" w:rsidRDefault="002E1E0B" w:rsidP="002E1E0B">
      <w:pPr>
        <w:tabs>
          <w:tab w:val="left" w:pos="567"/>
        </w:tabs>
        <w:ind w:left="284"/>
        <w:jc w:val="both"/>
        <w:rPr>
          <w:b/>
        </w:rPr>
      </w:pPr>
      <w:r w:rsidRPr="002E1E0B">
        <w:rPr>
          <w:b/>
        </w:rPr>
        <w:t>Cele s</w:t>
      </w:r>
      <w:r w:rsidR="00504F0D">
        <w:rPr>
          <w:b/>
        </w:rPr>
        <w:t>zkolenia</w:t>
      </w:r>
      <w:r w:rsidRPr="002E1E0B">
        <w:rPr>
          <w:b/>
        </w:rPr>
        <w:t xml:space="preserve">: </w:t>
      </w:r>
    </w:p>
    <w:p w14:paraId="54F5D9FE" w14:textId="1FF00960" w:rsidR="002E1E0B" w:rsidRDefault="002E1E0B" w:rsidP="002E1E0B">
      <w:pPr>
        <w:pStyle w:val="Akapitzlist"/>
        <w:numPr>
          <w:ilvl w:val="0"/>
          <w:numId w:val="1"/>
        </w:numPr>
        <w:tabs>
          <w:tab w:val="left" w:pos="567"/>
        </w:tabs>
        <w:jc w:val="both"/>
      </w:pPr>
      <w:r>
        <w:t>zdobycie praktycznej wiedzy oraz umiejętności na temat spos</w:t>
      </w:r>
      <w:r w:rsidR="00623E6F">
        <w:t>obów</w:t>
      </w:r>
      <w:r>
        <w:t xml:space="preserve"> planowania, komunikowania, wprowadzania i monitorowania </w:t>
      </w:r>
      <w:r w:rsidR="005B6500">
        <w:t>do zmian</w:t>
      </w:r>
    </w:p>
    <w:p w14:paraId="2729DCFD" w14:textId="0E62EB8E" w:rsidR="002E1E0B" w:rsidRDefault="002E1E0B" w:rsidP="002E1E0B">
      <w:pPr>
        <w:pStyle w:val="Akapitzlist"/>
        <w:numPr>
          <w:ilvl w:val="0"/>
          <w:numId w:val="1"/>
        </w:numPr>
        <w:tabs>
          <w:tab w:val="left" w:pos="567"/>
        </w:tabs>
        <w:jc w:val="both"/>
      </w:pPr>
      <w:r>
        <w:t>nabycie umiejętności minimalizowania u pracowników oporu wobec zmiany</w:t>
      </w:r>
    </w:p>
    <w:p w14:paraId="6A769BDE" w14:textId="2B1B7036" w:rsidR="002E1E0B" w:rsidRDefault="002E1E0B" w:rsidP="002E1E0B">
      <w:pPr>
        <w:pStyle w:val="Akapitzlist"/>
        <w:numPr>
          <w:ilvl w:val="0"/>
          <w:numId w:val="1"/>
        </w:numPr>
        <w:tabs>
          <w:tab w:val="left" w:pos="567"/>
        </w:tabs>
        <w:jc w:val="both"/>
      </w:pPr>
      <w:r>
        <w:t>poszerzenie wiedzy i umiejętności z zakresu komunikacji w zmianie oraz werbalizowania celów i oczekiwań</w:t>
      </w:r>
    </w:p>
    <w:p w14:paraId="506AE6F3" w14:textId="77777777" w:rsidR="002E1E0B" w:rsidRDefault="002E1E0B" w:rsidP="00144C8F">
      <w:pPr>
        <w:tabs>
          <w:tab w:val="left" w:pos="567"/>
        </w:tabs>
        <w:ind w:left="284"/>
        <w:jc w:val="both"/>
      </w:pPr>
    </w:p>
    <w:p w14:paraId="6D98471B" w14:textId="22B0CD2B" w:rsidR="00634831" w:rsidRDefault="002E1E0B" w:rsidP="00144C8F">
      <w:pPr>
        <w:tabs>
          <w:tab w:val="left" w:pos="567"/>
        </w:tabs>
        <w:ind w:left="284"/>
        <w:jc w:val="both"/>
      </w:pPr>
      <w:r>
        <w:t xml:space="preserve">Proponowane szkolenie zbudowane jest na podstawie międzynarodowego standardu </w:t>
      </w:r>
      <w:proofErr w:type="spellStart"/>
      <w:r>
        <w:t>Change</w:t>
      </w:r>
      <w:proofErr w:type="spellEnd"/>
      <w:r>
        <w:t xml:space="preserve"> Management. Standard ten</w:t>
      </w:r>
      <w:r w:rsidR="00634831">
        <w:t xml:space="preserve">, stworzony przez </w:t>
      </w:r>
      <w:proofErr w:type="spellStart"/>
      <w:r w:rsidR="00634831">
        <w:t>Change</w:t>
      </w:r>
      <w:proofErr w:type="spellEnd"/>
      <w:r w:rsidR="00634831">
        <w:t xml:space="preserve"> Management </w:t>
      </w:r>
      <w:proofErr w:type="spellStart"/>
      <w:r w:rsidR="00634831">
        <w:t>Institute</w:t>
      </w:r>
      <w:proofErr w:type="spellEnd"/>
      <w:r w:rsidR="00634831">
        <w:t>,</w:t>
      </w:r>
      <w:r>
        <w:t xml:space="preserve"> należy do najbardziej rozpoznawalnych metod wprowadzania zmian organizacyjnych</w:t>
      </w:r>
      <w:r w:rsidR="00634831">
        <w:t xml:space="preserve"> na świecie</w:t>
      </w:r>
      <w:r>
        <w:t xml:space="preserve">. Zakres merytoryczny programu szkolenia leży na dwóch solidnych fundamentach: wiedzy potwierdzonej naukowo oraz doświadczeniach organizacji z różnych branż, z całego świata. </w:t>
      </w:r>
    </w:p>
    <w:p w14:paraId="73BBA7E9" w14:textId="77777777" w:rsidR="00634831" w:rsidRDefault="00634831" w:rsidP="00144C8F">
      <w:pPr>
        <w:tabs>
          <w:tab w:val="left" w:pos="567"/>
        </w:tabs>
        <w:ind w:left="284"/>
        <w:jc w:val="both"/>
      </w:pPr>
    </w:p>
    <w:p w14:paraId="56AC879B" w14:textId="732E73DF" w:rsidR="002E1E0B" w:rsidRDefault="00634831" w:rsidP="00144C8F">
      <w:pPr>
        <w:tabs>
          <w:tab w:val="left" w:pos="567"/>
        </w:tabs>
        <w:ind w:left="284"/>
        <w:jc w:val="both"/>
      </w:pPr>
      <w:r>
        <w:t xml:space="preserve">Standard </w:t>
      </w:r>
      <w:proofErr w:type="spellStart"/>
      <w:r>
        <w:t>Change</w:t>
      </w:r>
      <w:proofErr w:type="spellEnd"/>
      <w:r>
        <w:t xml:space="preserve"> Management j</w:t>
      </w:r>
      <w:r w:rsidR="002E1E0B">
        <w:t>est popularyzowany przez międzynarodową organizację APMG, która</w:t>
      </w:r>
      <w:r>
        <w:t xml:space="preserve"> również</w:t>
      </w:r>
      <w:r w:rsidR="002E1E0B">
        <w:t xml:space="preserve"> promuje takie standardy jak: </w:t>
      </w:r>
      <w:proofErr w:type="spellStart"/>
      <w:r w:rsidR="002E1E0B">
        <w:t>AgilePM</w:t>
      </w:r>
      <w:proofErr w:type="spellEnd"/>
      <w:r w:rsidR="002E1E0B">
        <w:t xml:space="preserve">, Management of </w:t>
      </w:r>
      <w:proofErr w:type="spellStart"/>
      <w:r w:rsidR="002E1E0B">
        <w:t>Risk</w:t>
      </w:r>
      <w:proofErr w:type="spellEnd"/>
      <w:r w:rsidR="002E1E0B">
        <w:t xml:space="preserve">, Agile Business </w:t>
      </w:r>
      <w:proofErr w:type="spellStart"/>
      <w:r w:rsidR="002E1E0B">
        <w:t>Consortium</w:t>
      </w:r>
      <w:proofErr w:type="spellEnd"/>
      <w:r w:rsidR="002E1E0B">
        <w:t xml:space="preserve"> </w:t>
      </w:r>
      <w:proofErr w:type="spellStart"/>
      <w:r w:rsidR="002E1E0B">
        <w:t>Scrum</w:t>
      </w:r>
      <w:proofErr w:type="spellEnd"/>
      <w:r w:rsidR="002E1E0B">
        <w:t xml:space="preserve"> Master i wiele innych.</w:t>
      </w:r>
    </w:p>
    <w:p w14:paraId="7F2197C0" w14:textId="77777777" w:rsidR="002E1E0B" w:rsidRDefault="002E1E0B" w:rsidP="00144C8F">
      <w:pPr>
        <w:tabs>
          <w:tab w:val="left" w:pos="567"/>
        </w:tabs>
        <w:ind w:left="284"/>
        <w:jc w:val="both"/>
      </w:pPr>
    </w:p>
    <w:p w14:paraId="302AE29A" w14:textId="718FCE3E" w:rsidR="002E1E0B" w:rsidRPr="00607D89" w:rsidRDefault="00607D89" w:rsidP="00144C8F">
      <w:pPr>
        <w:tabs>
          <w:tab w:val="left" w:pos="567"/>
        </w:tabs>
        <w:ind w:left="284"/>
        <w:jc w:val="both"/>
        <w:rPr>
          <w:b/>
        </w:rPr>
      </w:pPr>
      <w:r w:rsidRPr="00607D89">
        <w:rPr>
          <w:b/>
        </w:rPr>
        <w:t>Forma szkolenia:</w:t>
      </w:r>
      <w:r w:rsidR="00753258">
        <w:rPr>
          <w:b/>
        </w:rPr>
        <w:t xml:space="preserve"> </w:t>
      </w:r>
      <w:r w:rsidR="00753258" w:rsidRPr="00753258">
        <w:t>warsztatowa</w:t>
      </w:r>
      <w:r w:rsidR="00753258">
        <w:t xml:space="preserve"> z zastosowaniem następujących narzędzi: </w:t>
      </w:r>
      <w:proofErr w:type="spellStart"/>
      <w:r w:rsidR="00753258">
        <w:t>case</w:t>
      </w:r>
      <w:proofErr w:type="spellEnd"/>
      <w:r w:rsidR="00753258">
        <w:t xml:space="preserve"> </w:t>
      </w:r>
      <w:proofErr w:type="spellStart"/>
      <w:r w:rsidR="00753258">
        <w:t>studies</w:t>
      </w:r>
      <w:proofErr w:type="spellEnd"/>
      <w:r w:rsidR="00753258">
        <w:t>, dyskusje, ćwiczenia, wykłady</w:t>
      </w:r>
      <w:r w:rsidR="00883DB9">
        <w:t>.</w:t>
      </w:r>
    </w:p>
    <w:p w14:paraId="303FC087" w14:textId="77777777" w:rsidR="00607D89" w:rsidRDefault="00607D89">
      <w:pPr>
        <w:widowControl/>
        <w:suppressAutoHyphens w:val="0"/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0074BB18" w14:textId="0CE7B60D" w:rsidR="00504F0D" w:rsidRDefault="00EF70FD" w:rsidP="00883DB9">
      <w:pPr>
        <w:tabs>
          <w:tab w:val="left" w:pos="567"/>
        </w:tabs>
        <w:ind w:left="284"/>
        <w:rPr>
          <w:b/>
        </w:rPr>
      </w:pPr>
      <w:r w:rsidRPr="00EF70FD">
        <w:rPr>
          <w:b/>
        </w:rPr>
        <w:lastRenderedPageBreak/>
        <w:t>Ramowy Program szkolenia</w:t>
      </w:r>
    </w:p>
    <w:p w14:paraId="1FC1A400" w14:textId="4231D293" w:rsidR="00EF70FD" w:rsidRPr="00883DB9" w:rsidRDefault="00EF70FD" w:rsidP="00883DB9">
      <w:pPr>
        <w:spacing w:before="120" w:after="80"/>
        <w:jc w:val="both"/>
        <w:rPr>
          <w:b/>
        </w:rPr>
      </w:pPr>
      <w:r w:rsidRPr="00883DB9">
        <w:rPr>
          <w:b/>
        </w:rPr>
        <w:t>Dzień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</w:tblGrid>
      <w:tr w:rsidR="00EF70FD" w:rsidRPr="00883DB9" w14:paraId="7583EAB7" w14:textId="2FD4ED0F" w:rsidTr="00883DB9">
        <w:tc>
          <w:tcPr>
            <w:tcW w:w="1276" w:type="dxa"/>
            <w:shd w:val="clear" w:color="auto" w:fill="auto"/>
          </w:tcPr>
          <w:p w14:paraId="04A2EA9E" w14:textId="77777777" w:rsidR="00EF70FD" w:rsidRPr="00883DB9" w:rsidRDefault="00EF70FD" w:rsidP="000F602F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883DB9">
              <w:rPr>
                <w:b/>
                <w:sz w:val="22"/>
                <w:szCs w:val="22"/>
              </w:rPr>
              <w:t xml:space="preserve">godziny </w:t>
            </w:r>
          </w:p>
          <w:p w14:paraId="790F6C89" w14:textId="0BA82C6E" w:rsidR="00EF70FD" w:rsidRPr="00883DB9" w:rsidRDefault="00917DD9" w:rsidP="000F602F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(od 09.00 do 15.30</w:t>
            </w:r>
            <w:r w:rsidR="00EF70FD" w:rsidRPr="00883DB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5FC3CC5D" w14:textId="5705C486" w:rsidR="00EF70FD" w:rsidRPr="00883DB9" w:rsidRDefault="00EF70FD" w:rsidP="000F602F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883DB9">
              <w:rPr>
                <w:b/>
                <w:sz w:val="22"/>
                <w:szCs w:val="22"/>
              </w:rPr>
              <w:t>Zakres</w:t>
            </w:r>
          </w:p>
        </w:tc>
      </w:tr>
      <w:tr w:rsidR="00EF70FD" w:rsidRPr="00883DB9" w14:paraId="5050C541" w14:textId="424B88BA" w:rsidTr="00883DB9">
        <w:tc>
          <w:tcPr>
            <w:tcW w:w="1276" w:type="dxa"/>
            <w:shd w:val="clear" w:color="auto" w:fill="auto"/>
          </w:tcPr>
          <w:p w14:paraId="60D07400" w14:textId="12D69D59" w:rsidR="00EF70FD" w:rsidRPr="00883DB9" w:rsidRDefault="00917DD9" w:rsidP="00F26D9B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pierwsza</w:t>
            </w:r>
          </w:p>
        </w:tc>
        <w:tc>
          <w:tcPr>
            <w:tcW w:w="7796" w:type="dxa"/>
            <w:shd w:val="clear" w:color="auto" w:fill="auto"/>
          </w:tcPr>
          <w:p w14:paraId="37FF1837" w14:textId="1F8FA15B" w:rsidR="00EF70FD" w:rsidRPr="00883DB9" w:rsidRDefault="00753258" w:rsidP="00634831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Wprowadzenie do zarządzania zmianą: czym jest zmiana, z czego wynika, na czym polega zarządzanie zmianą. Celem modułu jest zbudowanie kontekstu szkolenia i zrozumienie przez uczestników perspektywy osoby zarządzającej zmianą.</w:t>
            </w:r>
          </w:p>
        </w:tc>
      </w:tr>
      <w:tr w:rsidR="00EF70FD" w:rsidRPr="00883DB9" w14:paraId="2AF7BB02" w14:textId="77777777" w:rsidTr="00883DB9">
        <w:tc>
          <w:tcPr>
            <w:tcW w:w="1276" w:type="dxa"/>
            <w:shd w:val="clear" w:color="auto" w:fill="auto"/>
          </w:tcPr>
          <w:p w14:paraId="11414C67" w14:textId="0A40E99F" w:rsidR="00EF70FD" w:rsidRPr="00883DB9" w:rsidRDefault="00917DD9" w:rsidP="00F83FA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druga</w:t>
            </w:r>
          </w:p>
        </w:tc>
        <w:tc>
          <w:tcPr>
            <w:tcW w:w="7796" w:type="dxa"/>
            <w:shd w:val="clear" w:color="auto" w:fill="auto"/>
          </w:tcPr>
          <w:p w14:paraId="38BBC023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Planowanie zmiany i modele wprowadzania zmian.</w:t>
            </w:r>
          </w:p>
          <w:p w14:paraId="15C6D423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Trener przedstawi 3 modele wprowadzania zmiany:</w:t>
            </w:r>
          </w:p>
          <w:p w14:paraId="07C4F8E4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- 3 etapy Lewina,</w:t>
            </w:r>
          </w:p>
          <w:p w14:paraId="2A8D02D2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 xml:space="preserve">- 8 Kroków </w:t>
            </w:r>
            <w:proofErr w:type="spellStart"/>
            <w:r w:rsidRPr="00883DB9">
              <w:rPr>
                <w:sz w:val="22"/>
                <w:szCs w:val="22"/>
              </w:rPr>
              <w:t>Kottera</w:t>
            </w:r>
            <w:proofErr w:type="spellEnd"/>
            <w:r w:rsidRPr="00883DB9">
              <w:rPr>
                <w:sz w:val="22"/>
                <w:szCs w:val="22"/>
              </w:rPr>
              <w:t>;</w:t>
            </w:r>
          </w:p>
          <w:p w14:paraId="7EB1EA68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- model zmiany wyłaniającej się.</w:t>
            </w:r>
          </w:p>
          <w:p w14:paraId="0A7A99DC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Posłużą one jako struktura do planowania zmiany, w oparciu o poprzednie moduły szkolenia.</w:t>
            </w:r>
          </w:p>
          <w:p w14:paraId="111CC378" w14:textId="588F0528" w:rsidR="00EF70FD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Omówiony zostanie wpływ zmiany na organizację (</w:t>
            </w:r>
            <w:proofErr w:type="spellStart"/>
            <w:r w:rsidRPr="00883DB9">
              <w:rPr>
                <w:sz w:val="22"/>
                <w:szCs w:val="22"/>
              </w:rPr>
              <w:t>change</w:t>
            </w:r>
            <w:proofErr w:type="spellEnd"/>
            <w:r w:rsidRPr="00883DB9">
              <w:rPr>
                <w:sz w:val="22"/>
                <w:szCs w:val="22"/>
              </w:rPr>
              <w:t xml:space="preserve"> </w:t>
            </w:r>
            <w:proofErr w:type="spellStart"/>
            <w:r w:rsidRPr="00883DB9">
              <w:rPr>
                <w:sz w:val="22"/>
                <w:szCs w:val="22"/>
              </w:rPr>
              <w:t>impact</w:t>
            </w:r>
            <w:proofErr w:type="spellEnd"/>
            <w:r w:rsidRPr="00883DB9">
              <w:rPr>
                <w:sz w:val="22"/>
                <w:szCs w:val="22"/>
              </w:rPr>
              <w:t xml:space="preserve">) </w:t>
            </w:r>
            <w:r w:rsidR="00883DB9" w:rsidRPr="00883DB9">
              <w:rPr>
                <w:sz w:val="22"/>
                <w:szCs w:val="22"/>
              </w:rPr>
              <w:br/>
            </w:r>
            <w:r w:rsidRPr="00883DB9">
              <w:rPr>
                <w:sz w:val="22"/>
                <w:szCs w:val="22"/>
              </w:rPr>
              <w:t>i metody szacowania tego wpływu.</w:t>
            </w:r>
          </w:p>
        </w:tc>
      </w:tr>
      <w:tr w:rsidR="00EF70FD" w:rsidRPr="00883DB9" w14:paraId="79BCC2EA" w14:textId="77777777" w:rsidTr="00883DB9">
        <w:tc>
          <w:tcPr>
            <w:tcW w:w="1276" w:type="dxa"/>
            <w:shd w:val="clear" w:color="auto" w:fill="auto"/>
          </w:tcPr>
          <w:p w14:paraId="753C3634" w14:textId="76A389F4" w:rsidR="00EF70FD" w:rsidRPr="00883DB9" w:rsidRDefault="00917DD9" w:rsidP="00F26D9B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trzecia</w:t>
            </w:r>
          </w:p>
        </w:tc>
        <w:tc>
          <w:tcPr>
            <w:tcW w:w="7796" w:type="dxa"/>
            <w:shd w:val="clear" w:color="auto" w:fill="auto"/>
          </w:tcPr>
          <w:p w14:paraId="436C26C1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Uczenie się ludzi: nabywanie kompetencji potrzebnych do wprowadzania zmian. Zostaną przedstawione koncepcje:</w:t>
            </w:r>
          </w:p>
          <w:p w14:paraId="27179E72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- Trójkąt Kompetencji,</w:t>
            </w:r>
          </w:p>
          <w:p w14:paraId="50263735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- cykl Kolba,</w:t>
            </w:r>
          </w:p>
          <w:p w14:paraId="6520C425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- model świadomej i nieświadomej kompetencji i niekompetencji,</w:t>
            </w:r>
          </w:p>
          <w:p w14:paraId="35119BC1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- dołek poznawczy.</w:t>
            </w:r>
          </w:p>
          <w:p w14:paraId="21F8637A" w14:textId="01C5C3AD" w:rsidR="00EF70FD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 xml:space="preserve">Wpływ procesu uczenia się na działalność organizacji – powiązanie </w:t>
            </w:r>
            <w:r w:rsidR="00883DB9" w:rsidRPr="00883DB9">
              <w:rPr>
                <w:sz w:val="22"/>
                <w:szCs w:val="22"/>
              </w:rPr>
              <w:br/>
            </w:r>
            <w:r w:rsidRPr="00883DB9">
              <w:rPr>
                <w:sz w:val="22"/>
                <w:szCs w:val="22"/>
              </w:rPr>
              <w:t>z poprzednim modułem.</w:t>
            </w:r>
          </w:p>
        </w:tc>
      </w:tr>
      <w:tr w:rsidR="00EF70FD" w:rsidRPr="00883DB9" w14:paraId="5B2B2E1C" w14:textId="4C10D675" w:rsidTr="00883DB9">
        <w:tc>
          <w:tcPr>
            <w:tcW w:w="1276" w:type="dxa"/>
            <w:shd w:val="clear" w:color="auto" w:fill="auto"/>
          </w:tcPr>
          <w:p w14:paraId="45AC2F32" w14:textId="635C6952" w:rsidR="00EF70FD" w:rsidRPr="00883DB9" w:rsidRDefault="00917DD9" w:rsidP="00F26D9B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czwarta</w:t>
            </w:r>
          </w:p>
        </w:tc>
        <w:tc>
          <w:tcPr>
            <w:tcW w:w="7796" w:type="dxa"/>
            <w:shd w:val="clear" w:color="auto" w:fill="auto"/>
          </w:tcPr>
          <w:p w14:paraId="03546BE3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 xml:space="preserve">Reakcje ludzi na zmiany: </w:t>
            </w:r>
          </w:p>
          <w:p w14:paraId="58BB9717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 xml:space="preserve">- reakcje emocjonalne wobec zmian (krzywa zmiany), </w:t>
            </w:r>
          </w:p>
          <w:p w14:paraId="2FA02CF8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 xml:space="preserve">- wzór na zmianę </w:t>
            </w:r>
            <w:proofErr w:type="spellStart"/>
            <w:r w:rsidRPr="00883DB9">
              <w:rPr>
                <w:sz w:val="22"/>
                <w:szCs w:val="22"/>
              </w:rPr>
              <w:t>Beckharda</w:t>
            </w:r>
            <w:proofErr w:type="spellEnd"/>
            <w:r w:rsidRPr="00883DB9">
              <w:rPr>
                <w:sz w:val="22"/>
                <w:szCs w:val="22"/>
              </w:rPr>
              <w:t xml:space="preserve"> i Harrisa, </w:t>
            </w:r>
          </w:p>
          <w:p w14:paraId="2EE9E7E2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 xml:space="preserve">- Model Transformacji </w:t>
            </w:r>
            <w:proofErr w:type="spellStart"/>
            <w:r w:rsidRPr="00883DB9">
              <w:rPr>
                <w:sz w:val="22"/>
                <w:szCs w:val="22"/>
              </w:rPr>
              <w:t>Bridges’a</w:t>
            </w:r>
            <w:proofErr w:type="spellEnd"/>
            <w:r w:rsidRPr="00883DB9">
              <w:rPr>
                <w:sz w:val="22"/>
                <w:szCs w:val="22"/>
              </w:rPr>
              <w:t>,</w:t>
            </w:r>
          </w:p>
          <w:p w14:paraId="799B702C" w14:textId="5E718F02" w:rsidR="00EF70FD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Wpływ reakcji ludzi na działalność organizacji – powiązanie z poprzednimi modułami.</w:t>
            </w:r>
          </w:p>
        </w:tc>
      </w:tr>
    </w:tbl>
    <w:p w14:paraId="41500AF3" w14:textId="412EE37E" w:rsidR="00B35E05" w:rsidRPr="00883DB9" w:rsidRDefault="00576304" w:rsidP="00883DB9">
      <w:pPr>
        <w:spacing w:before="120" w:after="80"/>
        <w:jc w:val="both"/>
        <w:rPr>
          <w:b/>
          <w:szCs w:val="22"/>
        </w:rPr>
      </w:pPr>
      <w:r w:rsidRPr="00883DB9">
        <w:rPr>
          <w:b/>
          <w:szCs w:val="22"/>
        </w:rPr>
        <w:t>Dzień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</w:tblGrid>
      <w:tr w:rsidR="00C7277F" w:rsidRPr="00883DB9" w14:paraId="7F8B3272" w14:textId="77777777" w:rsidTr="00883DB9">
        <w:trPr>
          <w:trHeight w:val="580"/>
        </w:trPr>
        <w:tc>
          <w:tcPr>
            <w:tcW w:w="1276" w:type="dxa"/>
            <w:shd w:val="clear" w:color="auto" w:fill="auto"/>
          </w:tcPr>
          <w:p w14:paraId="26F0E77F" w14:textId="77777777" w:rsidR="00917DD9" w:rsidRPr="00883DB9" w:rsidRDefault="00917DD9" w:rsidP="00917DD9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883DB9">
              <w:rPr>
                <w:b/>
                <w:sz w:val="22"/>
                <w:szCs w:val="22"/>
              </w:rPr>
              <w:t xml:space="preserve">godziny </w:t>
            </w:r>
          </w:p>
          <w:p w14:paraId="254F0F72" w14:textId="02EDC4E3" w:rsidR="00C7277F" w:rsidRPr="00883DB9" w:rsidRDefault="00917DD9" w:rsidP="00917DD9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(od 09.00 do 15.30</w:t>
            </w:r>
            <w:r w:rsidRPr="00883DB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6510537E" w14:textId="77777777" w:rsidR="00C7277F" w:rsidRPr="00883DB9" w:rsidRDefault="00C7277F" w:rsidP="008D4C4B">
            <w:pPr>
              <w:tabs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883DB9">
              <w:rPr>
                <w:b/>
                <w:sz w:val="22"/>
                <w:szCs w:val="22"/>
              </w:rPr>
              <w:t>Zakres</w:t>
            </w:r>
          </w:p>
        </w:tc>
      </w:tr>
      <w:tr w:rsidR="00C7277F" w:rsidRPr="00883DB9" w14:paraId="1F206084" w14:textId="77777777" w:rsidTr="00883DB9">
        <w:trPr>
          <w:trHeight w:val="352"/>
        </w:trPr>
        <w:tc>
          <w:tcPr>
            <w:tcW w:w="1276" w:type="dxa"/>
            <w:shd w:val="clear" w:color="auto" w:fill="auto"/>
          </w:tcPr>
          <w:p w14:paraId="5A813878" w14:textId="774E2DC8" w:rsidR="00C7277F" w:rsidRPr="00883DB9" w:rsidRDefault="00917DD9" w:rsidP="008D4C4B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pierwsza</w:t>
            </w:r>
          </w:p>
        </w:tc>
        <w:tc>
          <w:tcPr>
            <w:tcW w:w="7796" w:type="dxa"/>
            <w:shd w:val="clear" w:color="auto" w:fill="auto"/>
          </w:tcPr>
          <w:p w14:paraId="3DC13CB5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Motywowanie do zmiany:</w:t>
            </w:r>
          </w:p>
          <w:p w14:paraId="3942AFA4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- motywacja i koncepcje wpływania na motywację ludzi do zmiany,</w:t>
            </w:r>
          </w:p>
          <w:p w14:paraId="4E58EFC8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- dźwignie zmiany jako narzędzia wpływania na zachowanie ludzi,</w:t>
            </w:r>
          </w:p>
          <w:p w14:paraId="6778CDDD" w14:textId="44F3B741" w:rsidR="00C7277F" w:rsidRPr="00883DB9" w:rsidRDefault="00753258" w:rsidP="00753258">
            <w:pPr>
              <w:tabs>
                <w:tab w:val="left" w:pos="567"/>
              </w:tabs>
              <w:jc w:val="both"/>
              <w:rPr>
                <w:spacing w:val="-8"/>
                <w:sz w:val="22"/>
                <w:szCs w:val="22"/>
              </w:rPr>
            </w:pPr>
            <w:r w:rsidRPr="00883DB9">
              <w:rPr>
                <w:spacing w:val="-8"/>
                <w:sz w:val="22"/>
                <w:szCs w:val="22"/>
              </w:rPr>
              <w:t xml:space="preserve">- angażowanie interesariuszy wg </w:t>
            </w:r>
            <w:proofErr w:type="spellStart"/>
            <w:r w:rsidRPr="00883DB9">
              <w:rPr>
                <w:spacing w:val="-8"/>
                <w:sz w:val="22"/>
                <w:szCs w:val="22"/>
              </w:rPr>
              <w:t>Mayfielda</w:t>
            </w:r>
            <w:proofErr w:type="spellEnd"/>
            <w:r w:rsidRPr="00883DB9">
              <w:rPr>
                <w:spacing w:val="-8"/>
                <w:sz w:val="22"/>
                <w:szCs w:val="22"/>
              </w:rPr>
              <w:t xml:space="preserve"> jako działania podnoszące motywację do zmiany.</w:t>
            </w:r>
          </w:p>
        </w:tc>
      </w:tr>
      <w:tr w:rsidR="00C7277F" w:rsidRPr="00883DB9" w14:paraId="7C568A16" w14:textId="77777777" w:rsidTr="00883DB9">
        <w:trPr>
          <w:trHeight w:val="70"/>
        </w:trPr>
        <w:tc>
          <w:tcPr>
            <w:tcW w:w="1276" w:type="dxa"/>
            <w:shd w:val="clear" w:color="auto" w:fill="auto"/>
          </w:tcPr>
          <w:p w14:paraId="1A1B36ED" w14:textId="5DC8F458" w:rsidR="00C7277F" w:rsidRPr="00883DB9" w:rsidRDefault="00917DD9" w:rsidP="008D4C4B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druga</w:t>
            </w:r>
          </w:p>
        </w:tc>
        <w:tc>
          <w:tcPr>
            <w:tcW w:w="7796" w:type="dxa"/>
            <w:shd w:val="clear" w:color="auto" w:fill="auto"/>
          </w:tcPr>
          <w:p w14:paraId="460EA736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Komunikacja w zmianie: techniki i narzędzia komunikacji. Budowanie struktur komunikacyjnych w zmianie (np. Sieć Agentów Zmiany).</w:t>
            </w:r>
          </w:p>
          <w:p w14:paraId="3B319A5C" w14:textId="3A49FCE1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 xml:space="preserve">Moduł ten będzie również nawiązywał do wszystkich poprzednich modułów, </w:t>
            </w:r>
            <w:r w:rsidR="00883DB9">
              <w:rPr>
                <w:sz w:val="22"/>
                <w:szCs w:val="22"/>
              </w:rPr>
              <w:br/>
            </w:r>
            <w:r w:rsidRPr="00883DB9">
              <w:rPr>
                <w:sz w:val="22"/>
                <w:szCs w:val="22"/>
              </w:rPr>
              <w:t>w których komunikacja gra podstawową rolę.</w:t>
            </w:r>
          </w:p>
          <w:p w14:paraId="78FB89CB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Zakres merytoryczny:</w:t>
            </w:r>
          </w:p>
          <w:p w14:paraId="64E230CC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- wpływ różnic indywidualnych (osobowościowych) na komunikację,</w:t>
            </w:r>
          </w:p>
          <w:p w14:paraId="5476EC48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- heurystyki a komunikacja,</w:t>
            </w:r>
          </w:p>
          <w:p w14:paraId="71536EC1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 xml:space="preserve">- udzielanie </w:t>
            </w:r>
            <w:proofErr w:type="spellStart"/>
            <w:r w:rsidRPr="00883DB9">
              <w:rPr>
                <w:sz w:val="22"/>
                <w:szCs w:val="22"/>
              </w:rPr>
              <w:t>feedbacku</w:t>
            </w:r>
            <w:proofErr w:type="spellEnd"/>
            <w:r w:rsidRPr="00883DB9">
              <w:rPr>
                <w:sz w:val="22"/>
                <w:szCs w:val="22"/>
              </w:rPr>
              <w:t>,</w:t>
            </w:r>
          </w:p>
          <w:p w14:paraId="28CCD1D5" w14:textId="77777777" w:rsidR="00753258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lastRenderedPageBreak/>
              <w:t>- docieranie do serc i umysłów,</w:t>
            </w:r>
          </w:p>
          <w:p w14:paraId="2116F126" w14:textId="549AABA0" w:rsidR="00C7277F" w:rsidRPr="00883DB9" w:rsidRDefault="00753258" w:rsidP="00753258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883DB9">
              <w:rPr>
                <w:sz w:val="22"/>
                <w:szCs w:val="22"/>
              </w:rPr>
              <w:t>- model AIDA</w:t>
            </w:r>
          </w:p>
        </w:tc>
      </w:tr>
    </w:tbl>
    <w:p w14:paraId="0DBF0259" w14:textId="30B3F2A3" w:rsidR="00D327BE" w:rsidRDefault="00607D89" w:rsidP="00883DB9">
      <w:pPr>
        <w:widowControl/>
        <w:suppressAutoHyphens w:val="0"/>
        <w:spacing w:after="160" w:line="259" w:lineRule="auto"/>
      </w:pPr>
      <w:r>
        <w:lastRenderedPageBreak/>
        <w:br w:type="page"/>
      </w:r>
      <w:r>
        <w:lastRenderedPageBreak/>
        <w:t>CHANGE MANAGEMENT</w:t>
      </w:r>
    </w:p>
    <w:p w14:paraId="5C18A63A" w14:textId="4397E1D7" w:rsidR="00D327BE" w:rsidRPr="00D327BE" w:rsidRDefault="00D327BE" w:rsidP="00D327BE">
      <w:pPr>
        <w:rPr>
          <w:i/>
        </w:rPr>
      </w:pPr>
      <w:r>
        <w:rPr>
          <w:i/>
        </w:rPr>
        <w:t>Bądź liderem zmian</w:t>
      </w:r>
      <w:r w:rsidRPr="00D327BE">
        <w:rPr>
          <w:i/>
        </w:rPr>
        <w:t>!</w:t>
      </w:r>
    </w:p>
    <w:p w14:paraId="73C9BBB6" w14:textId="77777777" w:rsidR="00D327BE" w:rsidRDefault="00D327BE" w:rsidP="009E07A5">
      <w:pPr>
        <w:jc w:val="both"/>
      </w:pPr>
    </w:p>
    <w:p w14:paraId="1B69CE10" w14:textId="13F6326D" w:rsidR="00E7189E" w:rsidRDefault="00E7189E" w:rsidP="00623E6F">
      <w:pPr>
        <w:tabs>
          <w:tab w:val="left" w:pos="567"/>
        </w:tabs>
        <w:ind w:left="284"/>
        <w:jc w:val="both"/>
      </w:pPr>
      <w:r>
        <w:rPr>
          <w:b/>
        </w:rPr>
        <w:t>Agent Zmiany</w:t>
      </w:r>
      <w:r>
        <w:t xml:space="preserve"> to każda osoba, która ma pozytywny wpływ na wprowadzanie zmian. Najczęściej są to członkowie zespołów poddanych zmianom, którzy formalnie bądź nieformalnie przyjmują funkcję „lidera zmiany” w swoim zespole.</w:t>
      </w:r>
    </w:p>
    <w:p w14:paraId="652267CC" w14:textId="154C286C" w:rsidR="00D327BE" w:rsidRDefault="00E7189E" w:rsidP="00623E6F">
      <w:pPr>
        <w:tabs>
          <w:tab w:val="left" w:pos="567"/>
        </w:tabs>
        <w:ind w:left="284"/>
        <w:jc w:val="both"/>
      </w:pPr>
      <w:r>
        <w:t xml:space="preserve">Szkolenie jest przeznaczone dla tych wszystkich pracowników, którzy formalnie bądź nieformalnie wspierają zmiany w swoim zespole. </w:t>
      </w:r>
    </w:p>
    <w:p w14:paraId="25B771E8" w14:textId="77777777" w:rsidR="00C7277F" w:rsidRDefault="00C7277F" w:rsidP="00623E6F">
      <w:pPr>
        <w:tabs>
          <w:tab w:val="left" w:pos="567"/>
        </w:tabs>
        <w:ind w:left="284"/>
        <w:jc w:val="both"/>
      </w:pPr>
    </w:p>
    <w:p w14:paraId="159C1BFF" w14:textId="1C041EE8" w:rsidR="00D327BE" w:rsidRPr="00D327BE" w:rsidRDefault="00D327BE" w:rsidP="00623E6F">
      <w:pPr>
        <w:tabs>
          <w:tab w:val="left" w:pos="567"/>
        </w:tabs>
        <w:ind w:left="284"/>
        <w:jc w:val="both"/>
        <w:rPr>
          <w:b/>
        </w:rPr>
      </w:pPr>
      <w:r w:rsidRPr="00D327BE">
        <w:rPr>
          <w:b/>
        </w:rPr>
        <w:t>Kluczowe kompetencje kształtowane podczas szkolenia: komunikacja, współpraca, uczenie innych, zrozumienie innych.</w:t>
      </w:r>
    </w:p>
    <w:p w14:paraId="4513076A" w14:textId="77777777" w:rsidR="00E7189E" w:rsidRDefault="00E7189E" w:rsidP="00623E6F">
      <w:pPr>
        <w:tabs>
          <w:tab w:val="left" w:pos="567"/>
        </w:tabs>
        <w:ind w:left="284"/>
        <w:jc w:val="both"/>
        <w:rPr>
          <w:b/>
        </w:rPr>
      </w:pPr>
    </w:p>
    <w:p w14:paraId="0056B17F" w14:textId="77777777" w:rsidR="00623E6F" w:rsidRPr="002E1E0B" w:rsidRDefault="00623E6F" w:rsidP="00623E6F">
      <w:pPr>
        <w:tabs>
          <w:tab w:val="left" w:pos="567"/>
        </w:tabs>
        <w:ind w:left="284"/>
        <w:jc w:val="both"/>
        <w:rPr>
          <w:b/>
        </w:rPr>
      </w:pPr>
      <w:r w:rsidRPr="002E1E0B">
        <w:rPr>
          <w:b/>
        </w:rPr>
        <w:t>Cele s</w:t>
      </w:r>
      <w:r>
        <w:rPr>
          <w:b/>
        </w:rPr>
        <w:t>zkolenia</w:t>
      </w:r>
      <w:r w:rsidRPr="002E1E0B">
        <w:rPr>
          <w:b/>
        </w:rPr>
        <w:t xml:space="preserve">: </w:t>
      </w:r>
    </w:p>
    <w:p w14:paraId="18E3FB47" w14:textId="0F35021B" w:rsidR="00623E6F" w:rsidRDefault="00623E6F" w:rsidP="00623E6F">
      <w:pPr>
        <w:pStyle w:val="Akapitzlist"/>
        <w:numPr>
          <w:ilvl w:val="0"/>
          <w:numId w:val="1"/>
        </w:numPr>
        <w:tabs>
          <w:tab w:val="left" w:pos="567"/>
        </w:tabs>
        <w:jc w:val="both"/>
      </w:pPr>
      <w:r>
        <w:t>zdobycie praktycznej wiedzy oraz umiejętności wspierania ludzi w przechodzeniu przez zmiany</w:t>
      </w:r>
    </w:p>
    <w:p w14:paraId="7D2B97BA" w14:textId="7F9E802D" w:rsidR="00623E6F" w:rsidRDefault="00623E6F" w:rsidP="00623E6F">
      <w:pPr>
        <w:pStyle w:val="Akapitzlist"/>
        <w:numPr>
          <w:ilvl w:val="0"/>
          <w:numId w:val="1"/>
        </w:numPr>
        <w:tabs>
          <w:tab w:val="left" w:pos="567"/>
        </w:tabs>
        <w:jc w:val="both"/>
      </w:pPr>
      <w:r>
        <w:t>nabycie umiejętności minimalizowania oporu wobec zmiany</w:t>
      </w:r>
    </w:p>
    <w:p w14:paraId="0C68A6FA" w14:textId="35A4347F" w:rsidR="00623E6F" w:rsidRDefault="00623E6F" w:rsidP="00623E6F">
      <w:pPr>
        <w:pStyle w:val="Akapitzlist"/>
        <w:numPr>
          <w:ilvl w:val="0"/>
          <w:numId w:val="1"/>
        </w:numPr>
        <w:tabs>
          <w:tab w:val="left" w:pos="567"/>
        </w:tabs>
        <w:jc w:val="both"/>
      </w:pPr>
      <w:r>
        <w:t>poszerzenie wiedzy i umiejętności z zakresu komunikacji w zmianie, komunikowania wizji i prowadzenia spotkań</w:t>
      </w:r>
    </w:p>
    <w:p w14:paraId="25DA79CC" w14:textId="77777777" w:rsidR="00623E6F" w:rsidRDefault="00623E6F" w:rsidP="00623E6F">
      <w:pPr>
        <w:tabs>
          <w:tab w:val="left" w:pos="567"/>
        </w:tabs>
        <w:ind w:left="284"/>
        <w:jc w:val="both"/>
      </w:pPr>
    </w:p>
    <w:p w14:paraId="497F4AB2" w14:textId="77777777" w:rsidR="00623E6F" w:rsidRDefault="00623E6F" w:rsidP="00623E6F">
      <w:pPr>
        <w:tabs>
          <w:tab w:val="left" w:pos="567"/>
        </w:tabs>
        <w:ind w:left="284"/>
        <w:jc w:val="both"/>
      </w:pPr>
      <w:r>
        <w:t xml:space="preserve">Proponowane szkolenie zbudowane jest na podstawie międzynarodowego standardu </w:t>
      </w:r>
      <w:proofErr w:type="spellStart"/>
      <w:r>
        <w:t>Change</w:t>
      </w:r>
      <w:proofErr w:type="spellEnd"/>
      <w:r>
        <w:t xml:space="preserve"> Management. Standard ten, stworzony przez </w:t>
      </w:r>
      <w:proofErr w:type="spellStart"/>
      <w:r>
        <w:t>Change</w:t>
      </w:r>
      <w:proofErr w:type="spellEnd"/>
      <w:r>
        <w:t xml:space="preserve"> Management </w:t>
      </w:r>
      <w:proofErr w:type="spellStart"/>
      <w:r>
        <w:t>Institute</w:t>
      </w:r>
      <w:proofErr w:type="spellEnd"/>
      <w:r>
        <w:t xml:space="preserve">, należy do najbardziej rozpoznawalnych metod wprowadzania zmian organizacyjnych na świecie. Zakres merytoryczny programu szkolenia leży na dwóch solidnych fundamentach: wiedzy potwierdzonej naukowo oraz doświadczeniach organizacji z różnych branż, z całego świata. </w:t>
      </w:r>
    </w:p>
    <w:p w14:paraId="3361625C" w14:textId="77777777" w:rsidR="00623E6F" w:rsidRDefault="00623E6F" w:rsidP="00623E6F">
      <w:pPr>
        <w:tabs>
          <w:tab w:val="left" w:pos="567"/>
        </w:tabs>
        <w:ind w:left="284"/>
        <w:jc w:val="both"/>
      </w:pPr>
    </w:p>
    <w:p w14:paraId="3A073924" w14:textId="77777777" w:rsidR="00623E6F" w:rsidRDefault="00623E6F" w:rsidP="00623E6F">
      <w:pPr>
        <w:tabs>
          <w:tab w:val="left" w:pos="567"/>
        </w:tabs>
        <w:ind w:left="284"/>
        <w:jc w:val="both"/>
      </w:pPr>
      <w:r>
        <w:t xml:space="preserve">Standard </w:t>
      </w:r>
      <w:proofErr w:type="spellStart"/>
      <w:r>
        <w:t>Change</w:t>
      </w:r>
      <w:proofErr w:type="spellEnd"/>
      <w:r>
        <w:t xml:space="preserve"> Management jest popularyzowany przez międzynarodową organizację APMG, która również promuje takie standardy jak: </w:t>
      </w:r>
      <w:proofErr w:type="spellStart"/>
      <w:r>
        <w:t>AgilePM</w:t>
      </w:r>
      <w:proofErr w:type="spellEnd"/>
      <w:r>
        <w:t xml:space="preserve">, Management of </w:t>
      </w:r>
      <w:proofErr w:type="spellStart"/>
      <w:r>
        <w:t>Risk</w:t>
      </w:r>
      <w:proofErr w:type="spellEnd"/>
      <w:r>
        <w:t xml:space="preserve">, Agile Business </w:t>
      </w:r>
      <w:proofErr w:type="spellStart"/>
      <w:r>
        <w:t>Consortium</w:t>
      </w:r>
      <w:proofErr w:type="spellEnd"/>
      <w:r>
        <w:t xml:space="preserve"> </w:t>
      </w:r>
      <w:proofErr w:type="spellStart"/>
      <w:r>
        <w:t>Scrum</w:t>
      </w:r>
      <w:proofErr w:type="spellEnd"/>
      <w:r>
        <w:t xml:space="preserve"> Master i wiele innych.</w:t>
      </w:r>
    </w:p>
    <w:p w14:paraId="671DA578" w14:textId="77777777" w:rsidR="00B82740" w:rsidRDefault="00B82740" w:rsidP="009E07A5">
      <w:pPr>
        <w:jc w:val="both"/>
      </w:pPr>
    </w:p>
    <w:p w14:paraId="71EBBD04" w14:textId="7BBF3637" w:rsidR="00883DB9" w:rsidRPr="00607D89" w:rsidRDefault="00883DB9" w:rsidP="00883DB9">
      <w:pPr>
        <w:tabs>
          <w:tab w:val="left" w:pos="567"/>
        </w:tabs>
        <w:ind w:left="284"/>
        <w:jc w:val="both"/>
        <w:rPr>
          <w:b/>
        </w:rPr>
      </w:pPr>
      <w:r w:rsidRPr="00607D89">
        <w:rPr>
          <w:b/>
        </w:rPr>
        <w:t>Forma szkolenia:</w:t>
      </w:r>
      <w:r>
        <w:rPr>
          <w:b/>
        </w:rPr>
        <w:t xml:space="preserve"> </w:t>
      </w:r>
      <w:r w:rsidRPr="00753258">
        <w:t>warsztatowa</w:t>
      </w:r>
      <w:r>
        <w:t xml:space="preserve"> z zastosowaniem następujących narzędzi: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, dyskusje, ćwiczenia, wykłady.</w:t>
      </w:r>
    </w:p>
    <w:p w14:paraId="4CBBC0A5" w14:textId="77777777" w:rsidR="00607D89" w:rsidRDefault="00607D89">
      <w:pPr>
        <w:widowControl/>
        <w:suppressAutoHyphens w:val="0"/>
        <w:spacing w:after="160" w:line="259" w:lineRule="auto"/>
        <w:jc w:val="left"/>
      </w:pPr>
      <w:r>
        <w:br w:type="page"/>
      </w:r>
    </w:p>
    <w:p w14:paraId="3ECFFBAE" w14:textId="77777777" w:rsidR="00607D89" w:rsidRDefault="00607D89" w:rsidP="00607D89">
      <w:pPr>
        <w:tabs>
          <w:tab w:val="left" w:pos="567"/>
        </w:tabs>
        <w:jc w:val="both"/>
        <w:rPr>
          <w:b/>
        </w:rPr>
      </w:pPr>
      <w:r w:rsidRPr="00EF70FD">
        <w:rPr>
          <w:b/>
        </w:rPr>
        <w:lastRenderedPageBreak/>
        <w:t>Ramowy Program szkolenia</w:t>
      </w:r>
    </w:p>
    <w:p w14:paraId="2A98B121" w14:textId="77777777" w:rsidR="00607D89" w:rsidRDefault="00607D89" w:rsidP="009E07A5">
      <w:pPr>
        <w:jc w:val="both"/>
      </w:pPr>
    </w:p>
    <w:p w14:paraId="4683C298" w14:textId="5B57A758" w:rsidR="00B82740" w:rsidRPr="00883DB9" w:rsidRDefault="00B82740" w:rsidP="009E07A5">
      <w:pPr>
        <w:jc w:val="both"/>
        <w:rPr>
          <w:b/>
        </w:rPr>
      </w:pPr>
      <w:r w:rsidRPr="00883DB9">
        <w:rPr>
          <w:b/>
        </w:rPr>
        <w:t>Dzień 1</w:t>
      </w:r>
    </w:p>
    <w:p w14:paraId="11936742" w14:textId="55896F0C" w:rsidR="00B82740" w:rsidRDefault="00B82740" w:rsidP="009E07A5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12"/>
      </w:tblGrid>
      <w:tr w:rsidR="00607D89" w14:paraId="49C436E9" w14:textId="77777777" w:rsidTr="00883DB9">
        <w:tc>
          <w:tcPr>
            <w:tcW w:w="1560" w:type="dxa"/>
            <w:shd w:val="clear" w:color="auto" w:fill="auto"/>
          </w:tcPr>
          <w:p w14:paraId="22AC0312" w14:textId="77777777" w:rsidR="00607D89" w:rsidRPr="00F26D9B" w:rsidRDefault="00607D89" w:rsidP="008D4C4B">
            <w:pPr>
              <w:tabs>
                <w:tab w:val="left" w:pos="567"/>
              </w:tabs>
              <w:jc w:val="both"/>
              <w:rPr>
                <w:b/>
              </w:rPr>
            </w:pPr>
            <w:r w:rsidRPr="00F26D9B">
              <w:rPr>
                <w:b/>
              </w:rPr>
              <w:t xml:space="preserve">godziny </w:t>
            </w:r>
          </w:p>
          <w:p w14:paraId="3BFE9E5C" w14:textId="0DAB5D7C" w:rsidR="00607D89" w:rsidRPr="00F26D9B" w:rsidRDefault="00917DD9" w:rsidP="008D4C4B">
            <w:pPr>
              <w:tabs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(od 09.00 do 15.30</w:t>
            </w:r>
            <w:r w:rsidR="00607D89" w:rsidRPr="00F26D9B">
              <w:rPr>
                <w:b/>
              </w:rPr>
              <w:t>)</w:t>
            </w:r>
          </w:p>
        </w:tc>
        <w:tc>
          <w:tcPr>
            <w:tcW w:w="7512" w:type="dxa"/>
            <w:shd w:val="clear" w:color="auto" w:fill="auto"/>
          </w:tcPr>
          <w:p w14:paraId="320DFA93" w14:textId="77777777" w:rsidR="00607D89" w:rsidRPr="00F26D9B" w:rsidRDefault="00607D89" w:rsidP="008D4C4B">
            <w:pPr>
              <w:tabs>
                <w:tab w:val="left" w:pos="567"/>
              </w:tabs>
              <w:jc w:val="both"/>
              <w:rPr>
                <w:b/>
              </w:rPr>
            </w:pPr>
            <w:r w:rsidRPr="00F26D9B">
              <w:rPr>
                <w:b/>
              </w:rPr>
              <w:t>Zakres</w:t>
            </w:r>
          </w:p>
        </w:tc>
      </w:tr>
      <w:tr w:rsidR="00607D89" w14:paraId="2E7237FA" w14:textId="77777777" w:rsidTr="00883DB9">
        <w:tc>
          <w:tcPr>
            <w:tcW w:w="1560" w:type="dxa"/>
            <w:shd w:val="clear" w:color="auto" w:fill="auto"/>
          </w:tcPr>
          <w:p w14:paraId="077B5A2C" w14:textId="06FA2A90" w:rsidR="00607D89" w:rsidRDefault="00917DD9" w:rsidP="00607D89">
            <w:pPr>
              <w:tabs>
                <w:tab w:val="left" w:pos="567"/>
              </w:tabs>
              <w:jc w:val="both"/>
            </w:pPr>
            <w:r>
              <w:rPr>
                <w:sz w:val="22"/>
                <w:szCs w:val="22"/>
              </w:rPr>
              <w:t>Część pierwsza</w:t>
            </w:r>
          </w:p>
        </w:tc>
        <w:tc>
          <w:tcPr>
            <w:tcW w:w="7512" w:type="dxa"/>
            <w:shd w:val="clear" w:color="auto" w:fill="auto"/>
          </w:tcPr>
          <w:p w14:paraId="223EEF13" w14:textId="29954491" w:rsidR="00607D89" w:rsidRDefault="00883DB9" w:rsidP="008D4C4B">
            <w:pPr>
              <w:tabs>
                <w:tab w:val="left" w:pos="567"/>
              </w:tabs>
              <w:jc w:val="both"/>
            </w:pPr>
            <w:r>
              <w:t>Wprowadzenie do zarządzania zmianą: czym jest zmiana, z czego wynika, na czym polega zarządzanie zmianą. Celem modułu jest zbudowanie kontekstu szkolenia i zrozumienie przez uczestników perspektywy osoby zarządzającej zmianą.</w:t>
            </w:r>
          </w:p>
        </w:tc>
      </w:tr>
      <w:tr w:rsidR="00607D89" w14:paraId="5E5288EB" w14:textId="77777777" w:rsidTr="00883DB9">
        <w:tc>
          <w:tcPr>
            <w:tcW w:w="1560" w:type="dxa"/>
            <w:shd w:val="clear" w:color="auto" w:fill="auto"/>
          </w:tcPr>
          <w:p w14:paraId="17A268E6" w14:textId="108A058E" w:rsidR="00607D89" w:rsidRDefault="00917DD9" w:rsidP="008D4C4B">
            <w:pPr>
              <w:tabs>
                <w:tab w:val="left" w:pos="567"/>
              </w:tabs>
              <w:jc w:val="both"/>
            </w:pPr>
            <w:r>
              <w:rPr>
                <w:sz w:val="22"/>
                <w:szCs w:val="22"/>
              </w:rPr>
              <w:t>Część druga</w:t>
            </w:r>
          </w:p>
        </w:tc>
        <w:tc>
          <w:tcPr>
            <w:tcW w:w="7512" w:type="dxa"/>
            <w:shd w:val="clear" w:color="auto" w:fill="auto"/>
          </w:tcPr>
          <w:p w14:paraId="4C9EF415" w14:textId="68471D9F" w:rsidR="00607D89" w:rsidRDefault="00883DB9" w:rsidP="008D4C4B">
            <w:pPr>
              <w:tabs>
                <w:tab w:val="left" w:pos="567"/>
              </w:tabs>
              <w:jc w:val="both"/>
            </w:pPr>
            <w:r>
              <w:t>Role w Zmianie: Sponsor, Agent zmiany, interesariusze. Trener omówi każdą z ról i przedstawi ich zakres działań w inicjatywach zmiany.</w:t>
            </w:r>
          </w:p>
        </w:tc>
      </w:tr>
      <w:tr w:rsidR="00607D89" w14:paraId="3F0AC4C0" w14:textId="77777777" w:rsidTr="00883DB9">
        <w:tc>
          <w:tcPr>
            <w:tcW w:w="1560" w:type="dxa"/>
            <w:shd w:val="clear" w:color="auto" w:fill="auto"/>
          </w:tcPr>
          <w:p w14:paraId="31AF6C7F" w14:textId="24C93280" w:rsidR="00607D89" w:rsidRDefault="00917DD9" w:rsidP="00F83FAA">
            <w:pPr>
              <w:tabs>
                <w:tab w:val="left" w:pos="567"/>
              </w:tabs>
              <w:jc w:val="both"/>
            </w:pPr>
            <w:r>
              <w:rPr>
                <w:sz w:val="22"/>
                <w:szCs w:val="22"/>
              </w:rPr>
              <w:t>Część trzecia</w:t>
            </w:r>
          </w:p>
        </w:tc>
        <w:tc>
          <w:tcPr>
            <w:tcW w:w="7512" w:type="dxa"/>
            <w:shd w:val="clear" w:color="auto" w:fill="auto"/>
          </w:tcPr>
          <w:p w14:paraId="00722A59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>Uczenie się ludzi: nabywanie kompetencji potrzebnych do wprowadzania zmian. Zostaną przedstawione koncepcje:</w:t>
            </w:r>
          </w:p>
          <w:p w14:paraId="36CF4F7B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>- Trójkąt Kompetencji,</w:t>
            </w:r>
          </w:p>
          <w:p w14:paraId="4A28EF89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>- cykl Kolba,</w:t>
            </w:r>
          </w:p>
          <w:p w14:paraId="1F7A3583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>- model świadomej i nieświadomej kompetencji i niekompetencji,</w:t>
            </w:r>
          </w:p>
          <w:p w14:paraId="0E3DAE53" w14:textId="2E6394CB" w:rsidR="00607D89" w:rsidRDefault="00883DB9" w:rsidP="00883DB9">
            <w:pPr>
              <w:tabs>
                <w:tab w:val="left" w:pos="567"/>
              </w:tabs>
              <w:jc w:val="both"/>
            </w:pPr>
            <w:r>
              <w:t>- dołek poznawczy.</w:t>
            </w:r>
          </w:p>
        </w:tc>
      </w:tr>
      <w:tr w:rsidR="00607D89" w14:paraId="66C03B6C" w14:textId="77777777" w:rsidTr="00883DB9">
        <w:tc>
          <w:tcPr>
            <w:tcW w:w="1560" w:type="dxa"/>
            <w:shd w:val="clear" w:color="auto" w:fill="auto"/>
          </w:tcPr>
          <w:p w14:paraId="1B2ADB02" w14:textId="1E42E224" w:rsidR="00607D89" w:rsidRDefault="00917DD9" w:rsidP="00F83FAA">
            <w:pPr>
              <w:tabs>
                <w:tab w:val="left" w:pos="567"/>
              </w:tabs>
              <w:jc w:val="both"/>
            </w:pPr>
            <w:r>
              <w:rPr>
                <w:sz w:val="22"/>
                <w:szCs w:val="22"/>
              </w:rPr>
              <w:t>Część czwarta</w:t>
            </w:r>
          </w:p>
        </w:tc>
        <w:tc>
          <w:tcPr>
            <w:tcW w:w="7512" w:type="dxa"/>
            <w:shd w:val="clear" w:color="auto" w:fill="auto"/>
          </w:tcPr>
          <w:p w14:paraId="1E01CD2C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 xml:space="preserve">Reakcje ludzi na zmiany: </w:t>
            </w:r>
          </w:p>
          <w:p w14:paraId="4628D9F7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 xml:space="preserve">- reakcje emocjonalne wobec zmian (krzywa zmiany), </w:t>
            </w:r>
          </w:p>
          <w:p w14:paraId="283EAF6D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 xml:space="preserve">- wzór na zmianę </w:t>
            </w:r>
            <w:proofErr w:type="spellStart"/>
            <w:r>
              <w:t>Beckharda</w:t>
            </w:r>
            <w:proofErr w:type="spellEnd"/>
            <w:r>
              <w:t xml:space="preserve"> i Harrisa, </w:t>
            </w:r>
          </w:p>
          <w:p w14:paraId="00001783" w14:textId="07DCA225" w:rsidR="00607D89" w:rsidRDefault="00883DB9" w:rsidP="00883DB9">
            <w:pPr>
              <w:tabs>
                <w:tab w:val="left" w:pos="567"/>
              </w:tabs>
              <w:jc w:val="both"/>
            </w:pPr>
            <w:r>
              <w:t xml:space="preserve">- Model Transformacji </w:t>
            </w:r>
            <w:proofErr w:type="spellStart"/>
            <w:r>
              <w:t>Bridges’a</w:t>
            </w:r>
            <w:proofErr w:type="spellEnd"/>
            <w:r>
              <w:t>,</w:t>
            </w:r>
          </w:p>
        </w:tc>
      </w:tr>
      <w:tr w:rsidR="00607D89" w14:paraId="55E22BB1" w14:textId="77777777" w:rsidTr="00883DB9">
        <w:tc>
          <w:tcPr>
            <w:tcW w:w="1560" w:type="dxa"/>
            <w:shd w:val="clear" w:color="auto" w:fill="auto"/>
          </w:tcPr>
          <w:p w14:paraId="1F79176B" w14:textId="54F9B11B" w:rsidR="00607D89" w:rsidRDefault="00917DD9" w:rsidP="00F83FAA">
            <w:pPr>
              <w:tabs>
                <w:tab w:val="left" w:pos="567"/>
              </w:tabs>
              <w:jc w:val="both"/>
            </w:pPr>
            <w:r>
              <w:rPr>
                <w:sz w:val="22"/>
                <w:szCs w:val="22"/>
              </w:rPr>
              <w:t>Część piąta</w:t>
            </w:r>
          </w:p>
        </w:tc>
        <w:tc>
          <w:tcPr>
            <w:tcW w:w="7512" w:type="dxa"/>
            <w:shd w:val="clear" w:color="auto" w:fill="auto"/>
          </w:tcPr>
          <w:p w14:paraId="5A9D829C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>Motywowanie do zmiany: część 1</w:t>
            </w:r>
          </w:p>
          <w:p w14:paraId="67A88EE2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>- motywacja i koncepcje wpływania na motywację ludzi do zmiany,</w:t>
            </w:r>
          </w:p>
          <w:p w14:paraId="03841973" w14:textId="487E69BD" w:rsidR="00607D89" w:rsidRDefault="00883DB9" w:rsidP="00883DB9">
            <w:pPr>
              <w:tabs>
                <w:tab w:val="left" w:pos="567"/>
              </w:tabs>
              <w:jc w:val="both"/>
            </w:pPr>
            <w:r>
              <w:t>- dźwignie zmiany jako narzędzia wpływania na zachowanie ludzi,</w:t>
            </w:r>
          </w:p>
        </w:tc>
      </w:tr>
    </w:tbl>
    <w:p w14:paraId="77B48ACD" w14:textId="77777777" w:rsidR="00C0230F" w:rsidRDefault="00C0230F" w:rsidP="00C0230F">
      <w:pPr>
        <w:tabs>
          <w:tab w:val="left" w:pos="567"/>
        </w:tabs>
        <w:jc w:val="both"/>
      </w:pPr>
    </w:p>
    <w:p w14:paraId="643DE23E" w14:textId="77777777" w:rsidR="00C0230F" w:rsidRPr="00883DB9" w:rsidRDefault="00C0230F" w:rsidP="00C0230F">
      <w:pPr>
        <w:jc w:val="both"/>
        <w:rPr>
          <w:b/>
        </w:rPr>
      </w:pPr>
      <w:r w:rsidRPr="00883DB9">
        <w:rPr>
          <w:b/>
        </w:rPr>
        <w:t>Dzień 2</w:t>
      </w:r>
    </w:p>
    <w:p w14:paraId="351D4375" w14:textId="77777777" w:rsidR="00C0230F" w:rsidRDefault="00C0230F" w:rsidP="00C0230F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512"/>
      </w:tblGrid>
      <w:tr w:rsidR="00607D89" w14:paraId="3E9AC2BE" w14:textId="77777777" w:rsidTr="00883DB9">
        <w:tc>
          <w:tcPr>
            <w:tcW w:w="1560" w:type="dxa"/>
            <w:shd w:val="clear" w:color="auto" w:fill="auto"/>
          </w:tcPr>
          <w:p w14:paraId="3EB1BEAA" w14:textId="77777777" w:rsidR="00607D89" w:rsidRPr="00F26D9B" w:rsidRDefault="00607D89" w:rsidP="008D4C4B">
            <w:pPr>
              <w:tabs>
                <w:tab w:val="left" w:pos="567"/>
              </w:tabs>
              <w:jc w:val="both"/>
              <w:rPr>
                <w:b/>
              </w:rPr>
            </w:pPr>
            <w:r w:rsidRPr="00F26D9B">
              <w:rPr>
                <w:b/>
              </w:rPr>
              <w:t xml:space="preserve">godziny </w:t>
            </w:r>
          </w:p>
          <w:p w14:paraId="43EC4D75" w14:textId="6208E599" w:rsidR="00607D89" w:rsidRPr="00F26D9B" w:rsidRDefault="00607D89" w:rsidP="008D4C4B">
            <w:pPr>
              <w:tabs>
                <w:tab w:val="left" w:pos="567"/>
              </w:tabs>
              <w:jc w:val="both"/>
              <w:rPr>
                <w:b/>
              </w:rPr>
            </w:pPr>
            <w:r w:rsidRPr="00F26D9B">
              <w:rPr>
                <w:b/>
              </w:rPr>
              <w:t>(</w:t>
            </w:r>
            <w:r w:rsidR="00917DD9">
              <w:rPr>
                <w:b/>
              </w:rPr>
              <w:t>od 09.00 do 15.30</w:t>
            </w:r>
            <w:r w:rsidR="00917DD9" w:rsidRPr="00F26D9B">
              <w:rPr>
                <w:b/>
              </w:rPr>
              <w:t>)</w:t>
            </w:r>
          </w:p>
        </w:tc>
        <w:tc>
          <w:tcPr>
            <w:tcW w:w="7512" w:type="dxa"/>
            <w:shd w:val="clear" w:color="auto" w:fill="auto"/>
          </w:tcPr>
          <w:p w14:paraId="5B646934" w14:textId="77777777" w:rsidR="00607D89" w:rsidRPr="00F26D9B" w:rsidRDefault="00607D89" w:rsidP="008D4C4B">
            <w:pPr>
              <w:tabs>
                <w:tab w:val="left" w:pos="567"/>
              </w:tabs>
              <w:jc w:val="both"/>
              <w:rPr>
                <w:b/>
              </w:rPr>
            </w:pPr>
            <w:r w:rsidRPr="00F26D9B">
              <w:rPr>
                <w:b/>
              </w:rPr>
              <w:t>Zakres</w:t>
            </w:r>
          </w:p>
        </w:tc>
      </w:tr>
      <w:tr w:rsidR="00607D89" w14:paraId="3A51493B" w14:textId="77777777" w:rsidTr="00883DB9">
        <w:tc>
          <w:tcPr>
            <w:tcW w:w="1560" w:type="dxa"/>
            <w:shd w:val="clear" w:color="auto" w:fill="auto"/>
          </w:tcPr>
          <w:p w14:paraId="522DB9D4" w14:textId="30853282" w:rsidR="00607D89" w:rsidRDefault="00917DD9" w:rsidP="00E7189E">
            <w:pPr>
              <w:tabs>
                <w:tab w:val="left" w:pos="567"/>
              </w:tabs>
              <w:jc w:val="both"/>
            </w:pPr>
            <w:r>
              <w:t xml:space="preserve"> </w:t>
            </w:r>
            <w:r w:rsidR="004B5577">
              <w:rPr>
                <w:sz w:val="22"/>
                <w:szCs w:val="22"/>
              </w:rPr>
              <w:t>Część pierwsza</w:t>
            </w:r>
          </w:p>
        </w:tc>
        <w:tc>
          <w:tcPr>
            <w:tcW w:w="7512" w:type="dxa"/>
            <w:shd w:val="clear" w:color="auto" w:fill="auto"/>
          </w:tcPr>
          <w:p w14:paraId="52880F68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>Motywowanie do zmiany: część 2</w:t>
            </w:r>
          </w:p>
          <w:p w14:paraId="53AFCA8C" w14:textId="48C3EE16" w:rsidR="00607D89" w:rsidRDefault="00883DB9" w:rsidP="00883DB9">
            <w:pPr>
              <w:tabs>
                <w:tab w:val="left" w:pos="567"/>
              </w:tabs>
              <w:jc w:val="both"/>
            </w:pPr>
            <w:r>
              <w:t xml:space="preserve">- angażowanie interesariuszy wg </w:t>
            </w:r>
            <w:proofErr w:type="spellStart"/>
            <w:r>
              <w:t>Mayfielda</w:t>
            </w:r>
            <w:proofErr w:type="spellEnd"/>
            <w:r>
              <w:t xml:space="preserve"> jako działania podnoszące motywację do zmiany</w:t>
            </w:r>
          </w:p>
        </w:tc>
      </w:tr>
      <w:tr w:rsidR="00607D89" w14:paraId="29DFAF18" w14:textId="77777777" w:rsidTr="00883DB9">
        <w:tc>
          <w:tcPr>
            <w:tcW w:w="1560" w:type="dxa"/>
            <w:shd w:val="clear" w:color="auto" w:fill="auto"/>
          </w:tcPr>
          <w:p w14:paraId="5B73318D" w14:textId="1283CCE8" w:rsidR="00607D89" w:rsidRDefault="004B5577" w:rsidP="00E7189E">
            <w:pPr>
              <w:tabs>
                <w:tab w:val="left" w:pos="567"/>
              </w:tabs>
              <w:jc w:val="both"/>
            </w:pPr>
            <w:r>
              <w:rPr>
                <w:sz w:val="22"/>
                <w:szCs w:val="22"/>
              </w:rPr>
              <w:t>Część druga</w:t>
            </w:r>
          </w:p>
        </w:tc>
        <w:tc>
          <w:tcPr>
            <w:tcW w:w="7512" w:type="dxa"/>
            <w:shd w:val="clear" w:color="auto" w:fill="auto"/>
          </w:tcPr>
          <w:p w14:paraId="1AB695C2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>Komunikacja w zmianie: techniki i narzędzia komunikacji.</w:t>
            </w:r>
          </w:p>
          <w:p w14:paraId="699C067F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>Moduł ten będzie również nawiązywał do wszystkich poprzednich modułów, w których komunikacja gra podstawową rolę.</w:t>
            </w:r>
          </w:p>
          <w:p w14:paraId="21B219DE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>Zakres merytoryczny:</w:t>
            </w:r>
          </w:p>
          <w:p w14:paraId="48972A6C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>- elementy facylitacji spotkań zespołów,</w:t>
            </w:r>
          </w:p>
          <w:p w14:paraId="6A4343BA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>- wpływ różnic indywidualnych (osobowościowych) na komunikację,</w:t>
            </w:r>
          </w:p>
          <w:p w14:paraId="318A3640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>- heurystyki a komunikacja,</w:t>
            </w:r>
          </w:p>
          <w:p w14:paraId="1E4FFC82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 xml:space="preserve">- udzielanie </w:t>
            </w:r>
            <w:proofErr w:type="spellStart"/>
            <w:r>
              <w:t>feedbacku</w:t>
            </w:r>
            <w:proofErr w:type="spellEnd"/>
            <w:r>
              <w:t>,</w:t>
            </w:r>
          </w:p>
          <w:p w14:paraId="7D96D719" w14:textId="77777777" w:rsidR="00883DB9" w:rsidRDefault="00883DB9" w:rsidP="00883DB9">
            <w:pPr>
              <w:tabs>
                <w:tab w:val="left" w:pos="567"/>
              </w:tabs>
              <w:jc w:val="both"/>
            </w:pPr>
            <w:r>
              <w:t>- docieranie do serc i umysłów,</w:t>
            </w:r>
          </w:p>
          <w:p w14:paraId="74BE9A25" w14:textId="1EC6CC0D" w:rsidR="00607D89" w:rsidRDefault="00883DB9" w:rsidP="00883DB9">
            <w:pPr>
              <w:tabs>
                <w:tab w:val="left" w:pos="567"/>
              </w:tabs>
              <w:jc w:val="both"/>
            </w:pPr>
            <w:r>
              <w:t>- model AIDA</w:t>
            </w:r>
          </w:p>
        </w:tc>
      </w:tr>
      <w:tr w:rsidR="00607D89" w14:paraId="61B5B5BC" w14:textId="77777777" w:rsidTr="00883DB9">
        <w:tc>
          <w:tcPr>
            <w:tcW w:w="1560" w:type="dxa"/>
            <w:shd w:val="clear" w:color="auto" w:fill="auto"/>
          </w:tcPr>
          <w:p w14:paraId="3F788EC4" w14:textId="7810E65E" w:rsidR="00607D89" w:rsidRDefault="004B5577" w:rsidP="00E7189E">
            <w:pPr>
              <w:tabs>
                <w:tab w:val="left" w:pos="567"/>
              </w:tabs>
              <w:jc w:val="both"/>
            </w:pPr>
            <w:r>
              <w:rPr>
                <w:sz w:val="22"/>
                <w:szCs w:val="22"/>
              </w:rPr>
              <w:lastRenderedPageBreak/>
              <w:t>Część trzecia</w:t>
            </w:r>
            <w:bookmarkStart w:id="0" w:name="_GoBack"/>
            <w:bookmarkEnd w:id="0"/>
          </w:p>
        </w:tc>
        <w:tc>
          <w:tcPr>
            <w:tcW w:w="7512" w:type="dxa"/>
            <w:shd w:val="clear" w:color="auto" w:fill="auto"/>
          </w:tcPr>
          <w:p w14:paraId="0F09C12F" w14:textId="200C5B64" w:rsidR="00607D89" w:rsidRDefault="00883DB9" w:rsidP="008D4C4B">
            <w:pPr>
              <w:tabs>
                <w:tab w:val="left" w:pos="567"/>
              </w:tabs>
              <w:jc w:val="both"/>
            </w:pPr>
            <w:r>
              <w:t>Wypełnianie roli Agenta zmiany: podsumowanie</w:t>
            </w:r>
          </w:p>
        </w:tc>
      </w:tr>
    </w:tbl>
    <w:p w14:paraId="14761287" w14:textId="77777777" w:rsidR="00B82740" w:rsidRPr="00607D89" w:rsidRDefault="00B82740" w:rsidP="00607D89">
      <w:pPr>
        <w:jc w:val="both"/>
        <w:rPr>
          <w:sz w:val="4"/>
        </w:rPr>
      </w:pPr>
    </w:p>
    <w:sectPr w:rsidR="00B82740" w:rsidRPr="00607D8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61C72" w14:textId="77777777" w:rsidR="00997E28" w:rsidRDefault="00997E28" w:rsidP="00EF70FD">
      <w:r>
        <w:separator/>
      </w:r>
    </w:p>
  </w:endnote>
  <w:endnote w:type="continuationSeparator" w:id="0">
    <w:p w14:paraId="4DDD6BBC" w14:textId="77777777" w:rsidR="00997E28" w:rsidRDefault="00997E28" w:rsidP="00EF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516897"/>
      <w:docPartObj>
        <w:docPartGallery w:val="Page Numbers (Bottom of Page)"/>
        <w:docPartUnique/>
      </w:docPartObj>
    </w:sdtPr>
    <w:sdtEndPr/>
    <w:sdtContent>
      <w:p w14:paraId="6BA577EE" w14:textId="77777777" w:rsidR="00EF70FD" w:rsidRPr="00ED7DF0" w:rsidRDefault="004B5577" w:rsidP="00EF70FD">
        <w:pPr>
          <w:pStyle w:val="Stopka"/>
        </w:pPr>
        <w:r>
          <w:rPr>
            <w:i/>
          </w:rPr>
          <w:pict w14:anchorId="7C307FD8">
            <v:rect id="_x0000_i1026" style="width:453.5pt;height:1pt" o:hralign="center" o:hrstd="t" o:hr="t" fillcolor="#aca899" stroked="f"/>
          </w:pict>
        </w:r>
        <w:r w:rsidR="00EF70FD" w:rsidRPr="00ED7DF0">
          <w:rPr>
            <w:sz w:val="20"/>
            <w:szCs w:val="20"/>
          </w:rPr>
          <w:t xml:space="preserve"> </w:t>
        </w:r>
        <w:r w:rsidR="00EF70FD" w:rsidRPr="00F04224">
          <w:rPr>
            <w:sz w:val="16"/>
            <w:szCs w:val="16"/>
          </w:rPr>
          <w:t>Projekt współfinansowany ze środków Unii Europejskiej w ramach Europejskiego Funduszu Społecznego</w:t>
        </w:r>
      </w:p>
      <w:p w14:paraId="45F6C60B" w14:textId="77777777" w:rsidR="00EF70FD" w:rsidRPr="00FF31E6" w:rsidRDefault="00EF70FD" w:rsidP="00EF70FD">
        <w:pPr>
          <w:pStyle w:val="Stopka"/>
          <w:rPr>
            <w:sz w:val="20"/>
            <w:szCs w:val="20"/>
          </w:rPr>
        </w:pPr>
        <w:r w:rsidRPr="007503E6">
          <w:rPr>
            <w:rFonts w:ascii="Calibri" w:hAnsi="Calibri" w:cs="Arial"/>
            <w:sz w:val="16"/>
            <w:szCs w:val="16"/>
          </w:rPr>
          <w:t>Uniwersytet Śląski w Katowicach, ul. Bankowa 12,  40-007  Katowice,  http://www.us.edu.pl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7D6E8" w14:textId="77777777" w:rsidR="00997E28" w:rsidRDefault="00997E28" w:rsidP="00EF70FD">
      <w:r>
        <w:separator/>
      </w:r>
    </w:p>
  </w:footnote>
  <w:footnote w:type="continuationSeparator" w:id="0">
    <w:p w14:paraId="2390A290" w14:textId="77777777" w:rsidR="00997E28" w:rsidRDefault="00997E28" w:rsidP="00EF7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DC830" w14:textId="77777777" w:rsidR="00EF70FD" w:rsidRDefault="00EF70FD" w:rsidP="00EF70FD">
    <w:pPr>
      <w:pStyle w:val="Nagwek"/>
    </w:pPr>
    <w:r>
      <w:rPr>
        <w:noProof/>
      </w:rPr>
      <w:drawing>
        <wp:inline distT="0" distB="0" distL="0" distR="0" wp14:anchorId="01B61A09" wp14:editId="42118D6E">
          <wp:extent cx="5619750" cy="725729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2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5A9B0" w14:textId="77777777" w:rsidR="00EF70FD" w:rsidRDefault="00EF70FD" w:rsidP="00EF70FD">
    <w:pPr>
      <w:pStyle w:val="Nagwek"/>
    </w:pPr>
  </w:p>
  <w:p w14:paraId="449B9007" w14:textId="598E3D69" w:rsidR="00EF70FD" w:rsidRPr="00EF70FD" w:rsidRDefault="00EF70FD" w:rsidP="00EF70FD">
    <w:pPr>
      <w:pStyle w:val="Nagwek"/>
      <w:rPr>
        <w:i/>
      </w:rPr>
    </w:pPr>
    <w:r w:rsidRPr="00FC504B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  <w:r w:rsidR="004B5577">
      <w:rPr>
        <w:i/>
      </w:rPr>
      <w:pict w14:anchorId="720D35E2">
        <v:rect id="_x0000_i1025" style="width:453.5pt;height:1pt" o:hralign="center" o:hrstd="t" o:hr="t" fillcolor="#aca899" stroked="f"/>
      </w:pict>
    </w:r>
    <w:r w:rsidRPr="00FF31E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D4FC2"/>
    <w:multiLevelType w:val="hybridMultilevel"/>
    <w:tmpl w:val="01A8FF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3497ECC"/>
    <w:multiLevelType w:val="hybridMultilevel"/>
    <w:tmpl w:val="5B36B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8F"/>
    <w:rsid w:val="000848DD"/>
    <w:rsid w:val="00144C8F"/>
    <w:rsid w:val="001559CD"/>
    <w:rsid w:val="001D5C88"/>
    <w:rsid w:val="002E1E0B"/>
    <w:rsid w:val="004B5577"/>
    <w:rsid w:val="00504F0D"/>
    <w:rsid w:val="0055149B"/>
    <w:rsid w:val="00576304"/>
    <w:rsid w:val="005B6500"/>
    <w:rsid w:val="00607D89"/>
    <w:rsid w:val="00623E6F"/>
    <w:rsid w:val="00634831"/>
    <w:rsid w:val="00743743"/>
    <w:rsid w:val="00753258"/>
    <w:rsid w:val="00883DB9"/>
    <w:rsid w:val="00917DD9"/>
    <w:rsid w:val="00942C98"/>
    <w:rsid w:val="00997E28"/>
    <w:rsid w:val="009B6AD1"/>
    <w:rsid w:val="009E07A5"/>
    <w:rsid w:val="00AF475A"/>
    <w:rsid w:val="00B35E05"/>
    <w:rsid w:val="00B82740"/>
    <w:rsid w:val="00B97350"/>
    <w:rsid w:val="00C0230F"/>
    <w:rsid w:val="00C7277F"/>
    <w:rsid w:val="00D2342E"/>
    <w:rsid w:val="00D327BE"/>
    <w:rsid w:val="00DB0B99"/>
    <w:rsid w:val="00E6065B"/>
    <w:rsid w:val="00E7189E"/>
    <w:rsid w:val="00ED4080"/>
    <w:rsid w:val="00EF70FD"/>
    <w:rsid w:val="00F223DF"/>
    <w:rsid w:val="00F26D9B"/>
    <w:rsid w:val="00F83FAA"/>
    <w:rsid w:val="00FB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23D4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C8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44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C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44C8F"/>
    <w:pPr>
      <w:widowControl/>
      <w:suppressAutoHyphens w:val="0"/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4C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C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C8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E1E0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A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F7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70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0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C8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144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C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44C8F"/>
    <w:pPr>
      <w:widowControl/>
      <w:suppressAutoHyphens w:val="0"/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4C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C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C8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E1E0B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A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F7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70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7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70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CD3CC3E27AC4A9E851CC00FDB4A1E" ma:contentTypeVersion="12" ma:contentTypeDescription="Utwórz nowy dokument." ma:contentTypeScope="" ma:versionID="e710929ce12823257b5233b49cee90ff">
  <xsd:schema xmlns:xsd="http://www.w3.org/2001/XMLSchema" xmlns:xs="http://www.w3.org/2001/XMLSchema" xmlns:p="http://schemas.microsoft.com/office/2006/metadata/properties" xmlns:ns2="34c2a819-68c1-4df6-a2df-14c9e8546b1b" xmlns:ns3="f75b5f67-877c-43ea-9285-a643f1db7fde" targetNamespace="http://schemas.microsoft.com/office/2006/metadata/properties" ma:root="true" ma:fieldsID="c0afa01560e94794cd288a43e79048ef" ns2:_="" ns3:_="">
    <xsd:import namespace="34c2a819-68c1-4df6-a2df-14c9e8546b1b"/>
    <xsd:import namespace="f75b5f67-877c-43ea-9285-a643f1db7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2a819-68c1-4df6-a2df-14c9e854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b5f67-877c-43ea-9285-a643f1db7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31BBF-E423-45CC-922F-9110E752D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F3E65-4C44-4971-882B-3D747379C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2a819-68c1-4df6-a2df-14c9e8546b1b"/>
    <ds:schemaRef ds:uri="f75b5f67-877c-43ea-9285-a643f1db7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2B5A2-0707-45DF-91A6-35D3E23F0F35}">
  <ds:schemaRefs>
    <ds:schemaRef ds:uri="http://schemas.openxmlformats.org/package/2006/metadata/core-properties"/>
    <ds:schemaRef ds:uri="34c2a819-68c1-4df6-a2df-14c9e8546b1b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f75b5f67-877c-43ea-9285-a643f1db7fd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968</Words>
  <Characters>5810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Rutkowska</dc:creator>
  <cp:lastModifiedBy>Agnieszka Wawoczny</cp:lastModifiedBy>
  <cp:revision>2</cp:revision>
  <dcterms:created xsi:type="dcterms:W3CDTF">2020-09-22T12:30:00Z</dcterms:created>
  <dcterms:modified xsi:type="dcterms:W3CDTF">2020-09-22T12:30:00Z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0x010100F98CD3CC3E27AC4A9E851CC00FDB4A1E</vt:lpwstr>
  </property>
</Properties>
</file>